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sdt>
      <w:sdtPr>
        <w:rPr>
          <w:rFonts w:eastAsia="Times New Roman"/>
          <w:b/>
          <w:sz w:val="52"/>
          <w:szCs w:val="52"/>
          <w:lang w:eastAsia="bg-BG"/>
        </w:rPr>
        <w:alias w:val="Заглавие"/>
        <w:id w:val="14700071"/>
        <w:dataBinding w:prefixMappings="xmlns:ns0='http://schemas.openxmlformats.org/package/2006/metadata/core-properties' xmlns:ns1='http://purl.org/dc/elements/1.1/'" w:xpath="/ns0:coreProperties[1]/ns1:title[1]" w:storeItemID="{6C3C8BC8-F283-45AE-878A-BAB7291924A1}"/>
        <w:text/>
      </w:sdtPr>
      <w:sdtEndPr/>
      <w:sdtContent>
        <w:p w:rsidR="00021D61" w:rsidRPr="00021D61" w:rsidRDefault="00021D61" w:rsidP="00021D61">
          <w:pPr>
            <w:widowControl/>
            <w:autoSpaceDE/>
            <w:autoSpaceDN/>
            <w:adjustRightInd/>
            <w:jc w:val="center"/>
            <w:rPr>
              <w:rFonts w:eastAsia="Times New Roman"/>
              <w:b/>
              <w:sz w:val="52"/>
              <w:szCs w:val="52"/>
              <w:lang w:eastAsia="en-US"/>
            </w:rPr>
          </w:pPr>
          <w:r>
            <w:rPr>
              <w:rFonts w:eastAsia="Times New Roman"/>
              <w:b/>
              <w:sz w:val="52"/>
              <w:szCs w:val="52"/>
              <w:lang w:eastAsia="bg-BG"/>
            </w:rPr>
            <w:t>Методика за оценка на постъпилите оферти</w:t>
          </w:r>
        </w:p>
      </w:sdtContent>
    </w:sdt>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r w:rsidRPr="00021D61">
        <w:rPr>
          <w:rFonts w:eastAsia="Times New Roman"/>
          <w:sz w:val="24"/>
          <w:szCs w:val="24"/>
          <w:lang w:eastAsia="bg-BG"/>
        </w:rPr>
        <w:t>Обществена поръчка, възлагана чрез публична покана по реда на Глава осма „а“ от Закона за обществени поръчки, с предмет:</w:t>
      </w:r>
    </w:p>
    <w:p w:rsidR="00021D61" w:rsidRPr="00021D61" w:rsidRDefault="00021D61" w:rsidP="00021D61">
      <w:pPr>
        <w:widowControl/>
        <w:autoSpaceDE/>
        <w:autoSpaceDN/>
        <w:adjustRightInd/>
        <w:spacing w:after="120" w:line="276" w:lineRule="auto"/>
        <w:ind w:firstLine="709"/>
        <w:jc w:val="center"/>
        <w:rPr>
          <w:rFonts w:eastAsia="Times New Roman"/>
          <w:b/>
          <w:sz w:val="36"/>
          <w:szCs w:val="24"/>
          <w:lang w:eastAsia="bg-BG"/>
        </w:rPr>
      </w:pPr>
      <w:r>
        <w:rPr>
          <w:rFonts w:eastAsia="Times New Roman"/>
          <w:b/>
          <w:sz w:val="36"/>
          <w:szCs w:val="24"/>
          <w:lang w:eastAsia="bg-BG"/>
        </w:rPr>
        <w:t>„</w:t>
      </w:r>
      <w:r w:rsidRPr="00021D61">
        <w:rPr>
          <w:rFonts w:eastAsia="Times New Roman"/>
          <w:b/>
          <w:sz w:val="36"/>
          <w:szCs w:val="24"/>
          <w:lang w:eastAsia="bg-BG"/>
        </w:rPr>
        <w:t>Изграждане на осветление на територията на гр. Русе</w:t>
      </w:r>
      <w:r>
        <w:rPr>
          <w:rFonts w:eastAsia="Times New Roman"/>
          <w:b/>
          <w:sz w:val="36"/>
          <w:szCs w:val="24"/>
          <w:lang w:eastAsia="bg-BG"/>
        </w:rPr>
        <w:t>“</w:t>
      </w:r>
      <w:r w:rsidRPr="00021D61">
        <w:rPr>
          <w:rFonts w:eastAsia="Times New Roman"/>
          <w:b/>
          <w:sz w:val="36"/>
          <w:szCs w:val="24"/>
          <w:lang w:eastAsia="bg-BG"/>
        </w:rPr>
        <w:t>.</w:t>
      </w:r>
    </w:p>
    <w:p w:rsidR="00021D61" w:rsidRPr="00021D61" w:rsidRDefault="00021D61" w:rsidP="00021D61">
      <w:pPr>
        <w:widowControl/>
        <w:autoSpaceDE/>
        <w:autoSpaceDN/>
        <w:adjustRightInd/>
        <w:spacing w:after="120" w:line="276" w:lineRule="auto"/>
        <w:ind w:firstLine="709"/>
        <w:jc w:val="center"/>
        <w:rPr>
          <w:rFonts w:eastAsia="Times New Roman"/>
          <w:sz w:val="24"/>
          <w:szCs w:val="24"/>
          <w:lang w:eastAsia="bg-BG"/>
        </w:rPr>
      </w:pPr>
    </w:p>
    <w:p w:rsidR="00021D61" w:rsidRPr="00021D61" w:rsidRDefault="00021D61" w:rsidP="00021D61">
      <w:pPr>
        <w:widowControl/>
        <w:autoSpaceDE/>
        <w:autoSpaceDN/>
        <w:adjustRightInd/>
        <w:spacing w:after="200" w:line="276" w:lineRule="auto"/>
        <w:rPr>
          <w:rFonts w:eastAsia="Calibri"/>
          <w:b/>
          <w:sz w:val="24"/>
          <w:szCs w:val="24"/>
          <w:lang w:eastAsia="en-US"/>
        </w:rPr>
      </w:pPr>
      <w:r w:rsidRPr="00021D61">
        <w:rPr>
          <w:rFonts w:eastAsia="Calibri"/>
          <w:b/>
          <w:sz w:val="24"/>
          <w:szCs w:val="24"/>
          <w:lang w:eastAsia="en-US"/>
        </w:rPr>
        <w:br w:type="page"/>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b/>
          <w:sz w:val="24"/>
          <w:szCs w:val="24"/>
          <w:lang w:eastAsia="en-US"/>
        </w:rPr>
        <w:lastRenderedPageBreak/>
        <w:t xml:space="preserve">Критерий за оценка </w:t>
      </w:r>
      <w:r w:rsidRPr="00021D61">
        <w:rPr>
          <w:rFonts w:eastAsia="Calibri"/>
          <w:sz w:val="24"/>
          <w:szCs w:val="24"/>
          <w:lang w:eastAsia="en-US"/>
        </w:rPr>
        <w:t xml:space="preserve">е </w:t>
      </w:r>
      <w:r w:rsidRPr="00021D61">
        <w:rPr>
          <w:rFonts w:eastAsia="Calibri"/>
          <w:b/>
          <w:sz w:val="24"/>
          <w:szCs w:val="24"/>
          <w:lang w:eastAsia="en-US"/>
        </w:rPr>
        <w:t xml:space="preserve">икономически най-изгодната оферта, </w:t>
      </w:r>
      <w:r w:rsidRPr="00021D61">
        <w:rPr>
          <w:rFonts w:eastAsia="Calibri"/>
          <w:sz w:val="24"/>
          <w:szCs w:val="24"/>
          <w:lang w:eastAsia="en-US"/>
        </w:rPr>
        <w:t>при следните показатели за определяне на комплексната оценка:</w:t>
      </w:r>
    </w:p>
    <w:p w:rsidR="00021D61" w:rsidRPr="00021D61" w:rsidRDefault="00021D61" w:rsidP="00021D61">
      <w:pPr>
        <w:widowControl/>
        <w:autoSpaceDE/>
        <w:autoSpaceDN/>
        <w:adjustRightInd/>
        <w:spacing w:after="120" w:line="276" w:lineRule="auto"/>
        <w:jc w:val="both"/>
        <w:rPr>
          <w:rFonts w:eastAsia="Calibri"/>
          <w:b/>
          <w:sz w:val="24"/>
          <w:szCs w:val="24"/>
          <w:lang w:eastAsia="en-US"/>
        </w:rPr>
      </w:pPr>
      <w:r w:rsidRPr="00021D61">
        <w:rPr>
          <w:rFonts w:eastAsia="Calibri"/>
          <w:b/>
          <w:sz w:val="24"/>
          <w:szCs w:val="24"/>
          <w:lang w:eastAsia="en-US"/>
        </w:rPr>
        <w:t xml:space="preserve">А. Предлагана цена (ПЦ) – максимален брой точки – 50 т. </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Максималният брой точки по този показател получава офертата с предлагана най-ниска цена – </w:t>
      </w:r>
      <w:r w:rsidRPr="00021D61">
        <w:rPr>
          <w:rFonts w:eastAsia="Calibri"/>
          <w:b/>
          <w:sz w:val="24"/>
          <w:szCs w:val="24"/>
          <w:lang w:eastAsia="en-US"/>
        </w:rPr>
        <w:t>50 точки.</w:t>
      </w:r>
      <w:r w:rsidRPr="00021D61">
        <w:rPr>
          <w:rFonts w:eastAsia="Calibri"/>
          <w:sz w:val="24"/>
          <w:szCs w:val="24"/>
          <w:lang w:eastAsia="en-US"/>
        </w:rPr>
        <w:t xml:space="preserve"> Точките на останалите участници се определят в съотношение към най-ниската предложена цена по следната формула:</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ПЦ = </w:t>
      </w:r>
      <w:r w:rsidRPr="00021D61">
        <w:rPr>
          <w:rFonts w:eastAsia="Calibri"/>
          <w:sz w:val="24"/>
          <w:szCs w:val="24"/>
          <w:u w:val="single"/>
          <w:lang w:eastAsia="en-US"/>
        </w:rPr>
        <w:t>ПЦ</w:t>
      </w:r>
      <w:r w:rsidRPr="00021D61">
        <w:rPr>
          <w:rFonts w:eastAsia="Calibri"/>
          <w:sz w:val="24"/>
          <w:szCs w:val="24"/>
          <w:u w:val="single"/>
          <w:vertAlign w:val="subscript"/>
          <w:lang w:val="en-US" w:eastAsia="en-US"/>
        </w:rPr>
        <w:t>min</w:t>
      </w:r>
      <w:r w:rsidRPr="00021D61">
        <w:rPr>
          <w:rFonts w:eastAsia="Calibri"/>
          <w:sz w:val="24"/>
          <w:szCs w:val="24"/>
          <w:vertAlign w:val="subscript"/>
          <w:lang w:eastAsia="en-US"/>
        </w:rPr>
        <w:t xml:space="preserve"> </w:t>
      </w:r>
      <w:r w:rsidRPr="00021D61">
        <w:rPr>
          <w:rFonts w:eastAsia="Calibri"/>
          <w:sz w:val="24"/>
          <w:szCs w:val="24"/>
          <w:lang w:eastAsia="en-US"/>
        </w:rPr>
        <w:t xml:space="preserve">х 50 = ……… точки, където </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           ПЦ </w:t>
      </w:r>
      <w:r w:rsidRPr="00021D61">
        <w:rPr>
          <w:rFonts w:eastAsia="Calibri"/>
          <w:sz w:val="24"/>
          <w:szCs w:val="24"/>
          <w:vertAlign w:val="subscript"/>
          <w:lang w:eastAsia="en-US"/>
        </w:rPr>
        <w:t>предл.</w:t>
      </w:r>
      <w:r w:rsidRPr="00021D61">
        <w:rPr>
          <w:rFonts w:eastAsia="Calibri"/>
          <w:sz w:val="24"/>
          <w:szCs w:val="24"/>
          <w:lang w:eastAsia="en-US"/>
        </w:rPr>
        <w:tab/>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„50”  са максималните точки по показателя;</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ПЦ </w:t>
      </w:r>
      <w:r w:rsidRPr="00021D61">
        <w:rPr>
          <w:rFonts w:eastAsia="Calibri"/>
          <w:sz w:val="24"/>
          <w:szCs w:val="24"/>
          <w:vertAlign w:val="subscript"/>
          <w:lang w:eastAsia="en-US"/>
        </w:rPr>
        <w:t>предл</w:t>
      </w:r>
      <w:r w:rsidRPr="00021D61">
        <w:rPr>
          <w:rFonts w:eastAsia="Calibri"/>
          <w:sz w:val="24"/>
          <w:szCs w:val="24"/>
          <w:lang w:eastAsia="en-US"/>
        </w:rPr>
        <w:t xml:space="preserve"> – цената, предложена от съответния участник (с ДДС);</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u w:val="single"/>
          <w:lang w:eastAsia="en-US"/>
        </w:rPr>
        <w:t>ПЦ</w:t>
      </w:r>
      <w:r w:rsidRPr="00021D61">
        <w:rPr>
          <w:rFonts w:eastAsia="Calibri"/>
          <w:sz w:val="24"/>
          <w:szCs w:val="24"/>
          <w:u w:val="single"/>
          <w:vertAlign w:val="subscript"/>
          <w:lang w:val="en-US" w:eastAsia="en-US"/>
        </w:rPr>
        <w:t>min</w:t>
      </w:r>
      <w:r w:rsidRPr="00021D61">
        <w:rPr>
          <w:rFonts w:eastAsia="Calibri"/>
          <w:sz w:val="24"/>
          <w:szCs w:val="24"/>
          <w:vertAlign w:val="subscript"/>
          <w:lang w:eastAsia="en-US"/>
        </w:rPr>
        <w:t xml:space="preserve"> </w:t>
      </w:r>
      <w:r w:rsidRPr="00021D61">
        <w:rPr>
          <w:rFonts w:eastAsia="Calibri"/>
          <w:sz w:val="24"/>
          <w:szCs w:val="24"/>
          <w:lang w:eastAsia="en-US"/>
        </w:rPr>
        <w:t>- предложената минимална цена(с ДДС).</w:t>
      </w:r>
    </w:p>
    <w:p w:rsidR="00021D61" w:rsidRPr="00021D61" w:rsidRDefault="00021D61" w:rsidP="00021D61">
      <w:pPr>
        <w:widowControl/>
        <w:autoSpaceDE/>
        <w:autoSpaceDN/>
        <w:adjustRightInd/>
        <w:spacing w:after="120" w:line="276" w:lineRule="auto"/>
        <w:ind w:firstLine="709"/>
        <w:jc w:val="both"/>
        <w:rPr>
          <w:rFonts w:eastAsia="Calibri"/>
          <w:sz w:val="24"/>
          <w:lang w:eastAsia="en-US"/>
        </w:rPr>
      </w:pPr>
    </w:p>
    <w:p w:rsidR="006026E7" w:rsidRPr="00BD5194" w:rsidRDefault="00021D61" w:rsidP="009435F7">
      <w:pPr>
        <w:widowControl/>
        <w:autoSpaceDE/>
        <w:autoSpaceDN/>
        <w:adjustRightInd/>
        <w:spacing w:after="120" w:line="276" w:lineRule="auto"/>
        <w:jc w:val="both"/>
        <w:rPr>
          <w:b/>
          <w:sz w:val="24"/>
        </w:rPr>
      </w:pPr>
      <w:r>
        <w:rPr>
          <w:b/>
          <w:sz w:val="24"/>
        </w:rPr>
        <w:t xml:space="preserve">Б. </w:t>
      </w:r>
      <w:r w:rsidR="006026E7" w:rsidRPr="00BD5194">
        <w:rPr>
          <w:b/>
          <w:sz w:val="24"/>
        </w:rPr>
        <w:t>Показател „</w:t>
      </w:r>
      <w:r w:rsidR="00372F78">
        <w:rPr>
          <w:b/>
          <w:sz w:val="24"/>
        </w:rPr>
        <w:t>ТЕХНИЧЕСКА ОФЕРТА</w:t>
      </w:r>
      <w:r w:rsidR="006026E7" w:rsidRPr="00BD5194">
        <w:rPr>
          <w:b/>
          <w:sz w:val="24"/>
        </w:rPr>
        <w:t xml:space="preserve">” </w:t>
      </w:r>
      <w:r>
        <w:rPr>
          <w:b/>
          <w:sz w:val="24"/>
        </w:rPr>
        <w:t>– 30 т.</w:t>
      </w:r>
    </w:p>
    <w:p w:rsidR="006026E7" w:rsidRPr="00BD5194" w:rsidRDefault="006026E7" w:rsidP="006026E7">
      <w:pPr>
        <w:ind w:firstLine="540"/>
        <w:jc w:val="both"/>
        <w:rPr>
          <w:sz w:val="24"/>
        </w:rPr>
      </w:pPr>
      <w:proofErr w:type="gramStart"/>
      <w:r w:rsidRPr="00BD5194">
        <w:rPr>
          <w:sz w:val="24"/>
          <w:lang w:val="ru-RU"/>
        </w:rPr>
        <w:t>Максимален</w:t>
      </w:r>
      <w:proofErr w:type="gramEnd"/>
      <w:r w:rsidRPr="00BD5194">
        <w:rPr>
          <w:sz w:val="24"/>
          <w:lang w:val="ru-RU"/>
        </w:rPr>
        <w:t xml:space="preserve"> брой точки по показателя - </w:t>
      </w:r>
      <w:r w:rsidR="000A5EA1">
        <w:rPr>
          <w:sz w:val="24"/>
          <w:lang w:val="ru-RU"/>
        </w:rPr>
        <w:t>3</w:t>
      </w:r>
      <w:r w:rsidRPr="00BD5194">
        <w:rPr>
          <w:sz w:val="24"/>
          <w:lang w:val="ru-RU"/>
        </w:rPr>
        <w:t xml:space="preserve">0 точки. </w:t>
      </w:r>
      <w:r w:rsidR="00372F78" w:rsidRPr="00372F78">
        <w:rPr>
          <w:b/>
          <w:sz w:val="24"/>
          <w:lang w:val="ru-RU"/>
        </w:rPr>
        <w:t xml:space="preserve">Б </w:t>
      </w:r>
      <w:r w:rsidRPr="00BD5194">
        <w:rPr>
          <w:b/>
          <w:bCs/>
          <w:sz w:val="24"/>
        </w:rPr>
        <w:t xml:space="preserve">= </w:t>
      </w:r>
      <w:r w:rsidR="00372F78">
        <w:rPr>
          <w:b/>
          <w:bCs/>
          <w:sz w:val="24"/>
        </w:rPr>
        <w:t>Б1</w:t>
      </w:r>
      <w:r w:rsidRPr="00BD5194">
        <w:rPr>
          <w:b/>
          <w:bCs/>
          <w:sz w:val="24"/>
        </w:rPr>
        <w:t xml:space="preserve"> + Б</w:t>
      </w:r>
      <w:r w:rsidR="00372F78">
        <w:rPr>
          <w:b/>
          <w:bCs/>
          <w:sz w:val="24"/>
        </w:rPr>
        <w:t>2</w:t>
      </w:r>
      <w:r w:rsidRPr="00BD5194">
        <w:rPr>
          <w:b/>
          <w:bCs/>
          <w:sz w:val="24"/>
        </w:rPr>
        <w:t xml:space="preserve">,  </w:t>
      </w:r>
      <w:r w:rsidRPr="00BD5194">
        <w:rPr>
          <w:sz w:val="24"/>
        </w:rPr>
        <w:t>Където:</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6851"/>
        <w:gridCol w:w="1969"/>
      </w:tblGrid>
      <w:tr w:rsidR="006026E7" w:rsidRPr="00BD5194" w:rsidTr="00F900BE">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6026E7" w:rsidRPr="00BD5194" w:rsidRDefault="006026E7" w:rsidP="00F900BE">
            <w:pPr>
              <w:tabs>
                <w:tab w:val="left" w:pos="0"/>
                <w:tab w:val="left" w:pos="1211"/>
              </w:tabs>
              <w:spacing w:after="120"/>
              <w:ind w:left="283"/>
              <w:jc w:val="both"/>
              <w:rPr>
                <w:b/>
                <w:bCs/>
                <w:sz w:val="24"/>
              </w:rPr>
            </w:pPr>
            <w:r w:rsidRPr="00BD5194">
              <w:rPr>
                <w:b/>
                <w:bCs/>
                <w:sz w:val="24"/>
              </w:rPr>
              <w:t>№</w:t>
            </w:r>
          </w:p>
        </w:tc>
        <w:tc>
          <w:tcPr>
            <w:tcW w:w="6851" w:type="dxa"/>
            <w:tcBorders>
              <w:top w:val="single" w:sz="4" w:space="0" w:color="auto"/>
              <w:left w:val="single" w:sz="4" w:space="0" w:color="auto"/>
              <w:bottom w:val="single" w:sz="4" w:space="0" w:color="auto"/>
              <w:right w:val="single" w:sz="4" w:space="0" w:color="auto"/>
            </w:tcBorders>
            <w:vAlign w:val="center"/>
          </w:tcPr>
          <w:p w:rsidR="006026E7" w:rsidRPr="00BD5194" w:rsidRDefault="006026E7" w:rsidP="00F900BE">
            <w:pPr>
              <w:tabs>
                <w:tab w:val="left" w:pos="0"/>
                <w:tab w:val="left" w:pos="1211"/>
              </w:tabs>
              <w:spacing w:after="120"/>
              <w:ind w:left="284"/>
              <w:jc w:val="both"/>
              <w:rPr>
                <w:b/>
                <w:bCs/>
                <w:sz w:val="24"/>
              </w:rPr>
            </w:pPr>
            <w:proofErr w:type="spellStart"/>
            <w:r w:rsidRPr="00BD5194">
              <w:rPr>
                <w:b/>
                <w:bCs/>
                <w:sz w:val="24"/>
              </w:rPr>
              <w:t>Подпоказател</w:t>
            </w:r>
            <w:proofErr w:type="spellEnd"/>
          </w:p>
        </w:tc>
        <w:tc>
          <w:tcPr>
            <w:tcW w:w="1969" w:type="dxa"/>
            <w:tcBorders>
              <w:top w:val="single" w:sz="4" w:space="0" w:color="auto"/>
              <w:left w:val="single" w:sz="4" w:space="0" w:color="auto"/>
              <w:bottom w:val="single" w:sz="4" w:space="0" w:color="auto"/>
              <w:right w:val="single" w:sz="4" w:space="0" w:color="auto"/>
            </w:tcBorders>
            <w:vAlign w:val="center"/>
          </w:tcPr>
          <w:p w:rsidR="006026E7" w:rsidRPr="00BD5194" w:rsidRDefault="006026E7" w:rsidP="00F900BE">
            <w:pPr>
              <w:tabs>
                <w:tab w:val="left" w:pos="0"/>
                <w:tab w:val="left" w:pos="1211"/>
              </w:tabs>
              <w:spacing w:after="120"/>
              <w:ind w:left="283"/>
              <w:jc w:val="both"/>
              <w:rPr>
                <w:b/>
                <w:bCs/>
                <w:sz w:val="24"/>
              </w:rPr>
            </w:pPr>
            <w:r w:rsidRPr="00BD5194">
              <w:rPr>
                <w:b/>
                <w:bCs/>
                <w:sz w:val="24"/>
              </w:rPr>
              <w:t>Макс. бр. точки</w:t>
            </w:r>
          </w:p>
        </w:tc>
      </w:tr>
      <w:tr w:rsidR="006026E7" w:rsidRPr="00BD5194" w:rsidTr="00F900BE">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6026E7" w:rsidRPr="00BD5194" w:rsidRDefault="000A5EA1" w:rsidP="00F900BE">
            <w:pPr>
              <w:jc w:val="both"/>
              <w:rPr>
                <w:b/>
                <w:i/>
                <w:sz w:val="24"/>
              </w:rPr>
            </w:pPr>
            <w:r>
              <w:rPr>
                <w:b/>
                <w:i/>
                <w:sz w:val="24"/>
              </w:rPr>
              <w:t>Б1</w:t>
            </w:r>
            <w:r w:rsidR="006026E7" w:rsidRPr="00BD5194">
              <w:rPr>
                <w:b/>
                <w:i/>
                <w:sz w:val="24"/>
              </w:rPr>
              <w:t>.</w:t>
            </w:r>
          </w:p>
        </w:tc>
        <w:tc>
          <w:tcPr>
            <w:tcW w:w="6851" w:type="dxa"/>
            <w:tcBorders>
              <w:top w:val="single" w:sz="4" w:space="0" w:color="auto"/>
              <w:left w:val="single" w:sz="4" w:space="0" w:color="auto"/>
              <w:bottom w:val="single" w:sz="4" w:space="0" w:color="auto"/>
              <w:right w:val="single" w:sz="4" w:space="0" w:color="auto"/>
            </w:tcBorders>
            <w:vAlign w:val="center"/>
          </w:tcPr>
          <w:p w:rsidR="006026E7" w:rsidRPr="00B72F91" w:rsidRDefault="0014152D" w:rsidP="00F900BE">
            <w:pPr>
              <w:tabs>
                <w:tab w:val="left" w:pos="0"/>
                <w:tab w:val="left" w:pos="1211"/>
              </w:tabs>
              <w:jc w:val="both"/>
              <w:rPr>
                <w:b/>
                <w:sz w:val="24"/>
              </w:rPr>
            </w:pPr>
            <w:r>
              <w:rPr>
                <w:b/>
                <w:i/>
                <w:sz w:val="24"/>
                <w:lang w:val="ru-RU"/>
              </w:rPr>
              <w:t>ОРГАНИЗАЦИЯ ЗА ИЗПЪЛНЕНИЕ НА ПОРЪЧКАТА</w:t>
            </w:r>
            <w:bookmarkStart w:id="0" w:name="_GoBack"/>
            <w:bookmarkEnd w:id="0"/>
          </w:p>
        </w:tc>
        <w:tc>
          <w:tcPr>
            <w:tcW w:w="1969" w:type="dxa"/>
            <w:tcBorders>
              <w:top w:val="single" w:sz="4" w:space="0" w:color="auto"/>
              <w:left w:val="single" w:sz="4" w:space="0" w:color="auto"/>
              <w:bottom w:val="single" w:sz="4" w:space="0" w:color="auto"/>
              <w:right w:val="single" w:sz="4" w:space="0" w:color="auto"/>
            </w:tcBorders>
            <w:vAlign w:val="center"/>
          </w:tcPr>
          <w:p w:rsidR="006026E7" w:rsidRPr="00BD5194" w:rsidRDefault="00462E2A" w:rsidP="00F900BE">
            <w:pPr>
              <w:jc w:val="both"/>
              <w:rPr>
                <w:b/>
                <w:i/>
                <w:sz w:val="24"/>
              </w:rPr>
            </w:pPr>
            <w:r>
              <w:rPr>
                <w:b/>
                <w:i/>
                <w:sz w:val="24"/>
              </w:rPr>
              <w:t>15</w:t>
            </w:r>
          </w:p>
        </w:tc>
      </w:tr>
      <w:tr w:rsidR="006026E7" w:rsidRPr="00BD5194" w:rsidTr="00F900BE">
        <w:trPr>
          <w:trHeight w:val="415"/>
          <w:jc w:val="center"/>
        </w:trPr>
        <w:tc>
          <w:tcPr>
            <w:tcW w:w="741" w:type="dxa"/>
            <w:tcBorders>
              <w:top w:val="single" w:sz="4" w:space="0" w:color="auto"/>
              <w:left w:val="single" w:sz="4" w:space="0" w:color="auto"/>
              <w:bottom w:val="single" w:sz="4" w:space="0" w:color="auto"/>
              <w:right w:val="single" w:sz="4" w:space="0" w:color="auto"/>
            </w:tcBorders>
            <w:vAlign w:val="center"/>
          </w:tcPr>
          <w:p w:rsidR="006026E7" w:rsidRPr="00BD5194" w:rsidRDefault="006026E7" w:rsidP="00F900BE">
            <w:pPr>
              <w:jc w:val="both"/>
              <w:rPr>
                <w:b/>
                <w:i/>
                <w:sz w:val="24"/>
              </w:rPr>
            </w:pPr>
            <w:r w:rsidRPr="00BD5194">
              <w:rPr>
                <w:b/>
                <w:i/>
                <w:sz w:val="24"/>
              </w:rPr>
              <w:t>Б</w:t>
            </w:r>
            <w:r w:rsidR="00AB2867">
              <w:rPr>
                <w:b/>
                <w:i/>
                <w:sz w:val="24"/>
              </w:rPr>
              <w:t>2</w:t>
            </w:r>
            <w:r w:rsidRPr="00BD5194">
              <w:rPr>
                <w:b/>
                <w:i/>
                <w:sz w:val="24"/>
              </w:rPr>
              <w:t>.</w:t>
            </w:r>
          </w:p>
        </w:tc>
        <w:tc>
          <w:tcPr>
            <w:tcW w:w="6851" w:type="dxa"/>
            <w:tcBorders>
              <w:top w:val="single" w:sz="4" w:space="0" w:color="auto"/>
              <w:left w:val="single" w:sz="4" w:space="0" w:color="auto"/>
              <w:bottom w:val="single" w:sz="4" w:space="0" w:color="auto"/>
              <w:right w:val="single" w:sz="4" w:space="0" w:color="auto"/>
            </w:tcBorders>
            <w:vAlign w:val="center"/>
          </w:tcPr>
          <w:p w:rsidR="006026E7" w:rsidRPr="00BD5194" w:rsidRDefault="00462E2A" w:rsidP="00F900BE">
            <w:pPr>
              <w:tabs>
                <w:tab w:val="left" w:pos="0"/>
                <w:tab w:val="left" w:pos="1211"/>
              </w:tabs>
              <w:rPr>
                <w:b/>
                <w:i/>
                <w:sz w:val="24"/>
              </w:rPr>
            </w:pPr>
            <w:r w:rsidRPr="00BD5194">
              <w:rPr>
                <w:b/>
                <w:i/>
                <w:sz w:val="24"/>
              </w:rPr>
              <w:t>УПРАВЛЕНИЕ НА РИСКА</w:t>
            </w:r>
          </w:p>
        </w:tc>
        <w:tc>
          <w:tcPr>
            <w:tcW w:w="1969" w:type="dxa"/>
            <w:tcBorders>
              <w:top w:val="single" w:sz="4" w:space="0" w:color="auto"/>
              <w:left w:val="single" w:sz="4" w:space="0" w:color="auto"/>
              <w:bottom w:val="single" w:sz="4" w:space="0" w:color="auto"/>
              <w:right w:val="single" w:sz="4" w:space="0" w:color="auto"/>
            </w:tcBorders>
            <w:vAlign w:val="center"/>
          </w:tcPr>
          <w:p w:rsidR="006026E7" w:rsidRPr="00BD5194" w:rsidRDefault="00462E2A" w:rsidP="00F900BE">
            <w:pPr>
              <w:jc w:val="both"/>
              <w:rPr>
                <w:b/>
                <w:i/>
                <w:sz w:val="24"/>
              </w:rPr>
            </w:pPr>
            <w:r>
              <w:rPr>
                <w:b/>
                <w:i/>
                <w:sz w:val="24"/>
              </w:rPr>
              <w:t>15</w:t>
            </w:r>
          </w:p>
        </w:tc>
      </w:tr>
      <w:tr w:rsidR="006026E7" w:rsidRPr="00BD5194" w:rsidTr="00F900BE">
        <w:trPr>
          <w:trHeight w:val="421"/>
          <w:jc w:val="center"/>
        </w:trPr>
        <w:tc>
          <w:tcPr>
            <w:tcW w:w="7592" w:type="dxa"/>
            <w:gridSpan w:val="2"/>
            <w:tcBorders>
              <w:top w:val="single" w:sz="4" w:space="0" w:color="auto"/>
              <w:left w:val="single" w:sz="4" w:space="0" w:color="auto"/>
              <w:bottom w:val="single" w:sz="4" w:space="0" w:color="auto"/>
              <w:right w:val="single" w:sz="4" w:space="0" w:color="auto"/>
            </w:tcBorders>
            <w:vAlign w:val="center"/>
          </w:tcPr>
          <w:p w:rsidR="006026E7" w:rsidRPr="00BD5194" w:rsidRDefault="006026E7" w:rsidP="00F900BE">
            <w:pPr>
              <w:tabs>
                <w:tab w:val="left" w:pos="0"/>
                <w:tab w:val="left" w:pos="1211"/>
              </w:tabs>
              <w:ind w:left="284"/>
              <w:jc w:val="right"/>
              <w:rPr>
                <w:sz w:val="24"/>
              </w:rPr>
            </w:pPr>
            <w:r w:rsidRPr="00BD5194">
              <w:rPr>
                <w:sz w:val="24"/>
              </w:rPr>
              <w:t>ОБЩО:</w:t>
            </w:r>
          </w:p>
        </w:tc>
        <w:tc>
          <w:tcPr>
            <w:tcW w:w="1969" w:type="dxa"/>
            <w:tcBorders>
              <w:top w:val="single" w:sz="4" w:space="0" w:color="auto"/>
              <w:left w:val="single" w:sz="4" w:space="0" w:color="auto"/>
              <w:bottom w:val="single" w:sz="4" w:space="0" w:color="auto"/>
              <w:right w:val="single" w:sz="4" w:space="0" w:color="auto"/>
            </w:tcBorders>
            <w:vAlign w:val="center"/>
          </w:tcPr>
          <w:p w:rsidR="006026E7" w:rsidRPr="00BD5194" w:rsidRDefault="00462E2A" w:rsidP="00F900BE">
            <w:pPr>
              <w:jc w:val="both"/>
              <w:rPr>
                <w:b/>
                <w:i/>
                <w:sz w:val="24"/>
              </w:rPr>
            </w:pPr>
            <w:r>
              <w:rPr>
                <w:b/>
                <w:i/>
                <w:sz w:val="24"/>
              </w:rPr>
              <w:t>30</w:t>
            </w:r>
          </w:p>
        </w:tc>
      </w:tr>
    </w:tbl>
    <w:p w:rsidR="006026E7" w:rsidRPr="00BD5194" w:rsidRDefault="006026E7" w:rsidP="006026E7">
      <w:pPr>
        <w:jc w:val="both"/>
        <w:rPr>
          <w:sz w:val="24"/>
          <w:lang w:val="ru-RU"/>
        </w:rPr>
      </w:pPr>
      <w:r w:rsidRPr="00BD5194">
        <w:rPr>
          <w:sz w:val="24"/>
          <w:lang w:val="ru-RU"/>
        </w:rPr>
        <w:t>Оценката за всеки един от техническите подпоказатели (</w:t>
      </w:r>
      <w:r w:rsidR="00372F78">
        <w:rPr>
          <w:sz w:val="24"/>
          <w:lang w:val="ru-RU"/>
        </w:rPr>
        <w:t>Б1</w:t>
      </w:r>
      <w:r w:rsidRPr="00BD5194">
        <w:rPr>
          <w:sz w:val="24"/>
          <w:lang w:val="ru-RU"/>
        </w:rPr>
        <w:t xml:space="preserve"> и Б</w:t>
      </w:r>
      <w:r w:rsidR="00372F78">
        <w:rPr>
          <w:sz w:val="24"/>
          <w:lang w:val="ru-RU"/>
        </w:rPr>
        <w:t>2</w:t>
      </w:r>
      <w:r w:rsidRPr="00BD5194">
        <w:rPr>
          <w:sz w:val="24"/>
          <w:lang w:val="ru-RU"/>
        </w:rPr>
        <w:t xml:space="preserve">) се формира, както следва: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271"/>
        <w:gridCol w:w="1134"/>
      </w:tblGrid>
      <w:tr w:rsidR="006026E7" w:rsidRPr="00A6286F" w:rsidTr="00197162">
        <w:tc>
          <w:tcPr>
            <w:tcW w:w="2518" w:type="dxa"/>
            <w:tcBorders>
              <w:top w:val="single" w:sz="4" w:space="0" w:color="auto"/>
              <w:left w:val="single" w:sz="4" w:space="0" w:color="auto"/>
              <w:bottom w:val="single" w:sz="4" w:space="0" w:color="auto"/>
              <w:right w:val="single" w:sz="4" w:space="0" w:color="auto"/>
            </w:tcBorders>
            <w:shd w:val="clear" w:color="auto" w:fill="auto"/>
          </w:tcPr>
          <w:p w:rsidR="006026E7" w:rsidRPr="00A6286F" w:rsidRDefault="006026E7" w:rsidP="00F900BE">
            <w:pPr>
              <w:jc w:val="both"/>
              <w:rPr>
                <w:b/>
                <w:bCs/>
                <w:caps/>
              </w:rPr>
            </w:pPr>
            <w:r w:rsidRPr="00A6286F">
              <w:rPr>
                <w:b/>
                <w:bCs/>
                <w:caps/>
              </w:rPr>
              <w:t>ПОдПОКАЗАТЕЛ</w:t>
            </w: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6026E7" w:rsidRPr="00A6286F" w:rsidRDefault="006026E7" w:rsidP="00F900BE">
            <w:pPr>
              <w:jc w:val="both"/>
              <w:rPr>
                <w:b/>
                <w:bCs/>
              </w:rPr>
            </w:pPr>
            <w:r w:rsidRPr="00A6286F">
              <w:rPr>
                <w:b/>
                <w:bCs/>
              </w:rPr>
              <w:t>Степен на съответствие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6E7" w:rsidRPr="00A6286F" w:rsidRDefault="006026E7" w:rsidP="00F900BE">
            <w:pPr>
              <w:jc w:val="both"/>
              <w:rPr>
                <w:b/>
                <w:bCs/>
              </w:rPr>
            </w:pPr>
            <w:r w:rsidRPr="00A6286F">
              <w:rPr>
                <w:b/>
                <w:bCs/>
              </w:rPr>
              <w:t>Брой точки</w:t>
            </w:r>
          </w:p>
        </w:tc>
      </w:tr>
      <w:tr w:rsidR="006026E7" w:rsidRPr="00A6286F" w:rsidTr="00197162">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AB2867" w:rsidP="00F900BE">
            <w:pPr>
              <w:jc w:val="both"/>
              <w:rPr>
                <w:b/>
                <w:bCs/>
                <w:lang w:val="ru-RU"/>
              </w:rPr>
            </w:pPr>
            <w:r w:rsidRPr="00A6286F">
              <w:rPr>
                <w:b/>
                <w:lang w:val="ru-RU"/>
              </w:rPr>
              <w:t>Б1</w:t>
            </w:r>
            <w:r w:rsidR="006026E7" w:rsidRPr="00A6286F">
              <w:rPr>
                <w:b/>
                <w:lang w:val="ru-RU"/>
              </w:rPr>
              <w:t xml:space="preserve">. </w:t>
            </w:r>
            <w:r w:rsidR="006026E7" w:rsidRPr="00A6286F">
              <w:rPr>
                <w:b/>
                <w:i/>
                <w:lang w:val="ru-RU"/>
              </w:rPr>
              <w:t>ТЕХНОЛОГИЧНА ПОСЛЕДОВАТЕЛНОСТ НА СТРОИТЕЛНИТЕ ПРОЦЕСИ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6026E7" w:rsidP="00372F78">
            <w:pPr>
              <w:jc w:val="both"/>
              <w:rPr>
                <w:b/>
                <w:bCs/>
              </w:rPr>
            </w:pPr>
            <w:r w:rsidRPr="00A6286F">
              <w:rPr>
                <w:b/>
                <w:bCs/>
              </w:rPr>
              <w:t xml:space="preserve">Макс. брой точки </w:t>
            </w:r>
            <w:r w:rsidR="00372F78" w:rsidRPr="00A6286F">
              <w:rPr>
                <w:b/>
                <w:bCs/>
              </w:rPr>
              <w:t>15</w:t>
            </w:r>
          </w:p>
        </w:tc>
      </w:tr>
      <w:tr w:rsidR="006026E7" w:rsidRPr="00A6286F" w:rsidTr="00197162">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6026E7" w:rsidP="00F900BE">
            <w:pPr>
              <w:ind w:firstLine="567"/>
              <w:jc w:val="both"/>
              <w:rPr>
                <w:b/>
              </w:rPr>
            </w:pPr>
            <w:r w:rsidRPr="00A6286F">
              <w:rPr>
                <w:i/>
                <w:lang w:val="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6026E7" w:rsidP="00F900BE">
            <w:pPr>
              <w:jc w:val="both"/>
              <w:rPr>
                <w:b/>
                <w:bCs/>
              </w:rPr>
            </w:pPr>
          </w:p>
        </w:tc>
      </w:tr>
      <w:tr w:rsidR="006026E7" w:rsidRPr="00A6286F" w:rsidTr="00197162">
        <w:tc>
          <w:tcPr>
            <w:tcW w:w="2518" w:type="dxa"/>
            <w:vMerge w:val="restart"/>
            <w:tcBorders>
              <w:top w:val="single" w:sz="4" w:space="0" w:color="auto"/>
              <w:left w:val="single" w:sz="4" w:space="0" w:color="auto"/>
              <w:right w:val="single" w:sz="4" w:space="0" w:color="auto"/>
            </w:tcBorders>
          </w:tcPr>
          <w:p w:rsidR="006026E7" w:rsidRPr="00A6286F" w:rsidRDefault="006026E7" w:rsidP="00F900BE">
            <w:pPr>
              <w:jc w:val="both"/>
              <w:rPr>
                <w:b/>
                <w:i/>
              </w:rPr>
            </w:pPr>
            <w:r w:rsidRPr="00A6286F">
              <w:rPr>
                <w:b/>
                <w:i/>
              </w:rPr>
              <w:t>Фактори, влияещи на оценката:</w:t>
            </w:r>
          </w:p>
          <w:p w:rsidR="006026E7" w:rsidRPr="00A6286F" w:rsidRDefault="006026E7" w:rsidP="00F900BE">
            <w:pPr>
              <w:jc w:val="both"/>
              <w:rPr>
                <w:i/>
              </w:rPr>
            </w:pPr>
          </w:p>
          <w:p w:rsidR="006026E7" w:rsidRPr="00A6286F" w:rsidRDefault="006026E7" w:rsidP="006026E7">
            <w:pPr>
              <w:widowControl/>
              <w:numPr>
                <w:ilvl w:val="0"/>
                <w:numId w:val="1"/>
              </w:numPr>
              <w:tabs>
                <w:tab w:val="num" w:pos="426"/>
              </w:tabs>
              <w:autoSpaceDE/>
              <w:autoSpaceDN/>
              <w:adjustRightInd/>
              <w:ind w:left="0" w:firstLine="0"/>
              <w:jc w:val="both"/>
              <w:rPr>
                <w:i/>
                <w:lang w:val="ru-RU"/>
              </w:rPr>
            </w:pPr>
            <w:r w:rsidRPr="00A6286F">
              <w:rPr>
                <w:i/>
                <w:lang w:val="ru-RU"/>
              </w:rPr>
              <w:t>Описание на отделните етапи на изпълнение на поръчката;</w:t>
            </w:r>
          </w:p>
          <w:p w:rsidR="006026E7" w:rsidRPr="00A6286F" w:rsidRDefault="006026E7" w:rsidP="006026E7">
            <w:pPr>
              <w:widowControl/>
              <w:numPr>
                <w:ilvl w:val="0"/>
                <w:numId w:val="1"/>
              </w:numPr>
              <w:tabs>
                <w:tab w:val="num" w:pos="426"/>
              </w:tabs>
              <w:autoSpaceDE/>
              <w:autoSpaceDN/>
              <w:adjustRightInd/>
              <w:ind w:left="0" w:firstLine="0"/>
              <w:jc w:val="both"/>
              <w:rPr>
                <w:i/>
                <w:lang w:val="ru-RU"/>
              </w:rPr>
            </w:pPr>
            <w:r w:rsidRPr="00A6286F">
              <w:rPr>
                <w:i/>
                <w:lang w:val="ru-RU"/>
              </w:rPr>
              <w:t>Описание на видовете СМР и тяхната последователност на изпълнение;</w:t>
            </w:r>
          </w:p>
          <w:p w:rsidR="006026E7" w:rsidRPr="00A6286F" w:rsidRDefault="006026E7" w:rsidP="006026E7">
            <w:pPr>
              <w:widowControl/>
              <w:numPr>
                <w:ilvl w:val="0"/>
                <w:numId w:val="1"/>
              </w:numPr>
              <w:tabs>
                <w:tab w:val="num" w:pos="426"/>
              </w:tabs>
              <w:autoSpaceDE/>
              <w:autoSpaceDN/>
              <w:adjustRightInd/>
              <w:ind w:left="0" w:firstLine="0"/>
              <w:jc w:val="both"/>
              <w:rPr>
                <w:i/>
                <w:lang w:val="ru-RU"/>
              </w:rPr>
            </w:pPr>
            <w:r w:rsidRPr="00A6286F">
              <w:rPr>
                <w:i/>
                <w:lang w:val="ru-RU"/>
              </w:rPr>
              <w:t>Организация и подход на изпълнение;</w:t>
            </w:r>
          </w:p>
          <w:p w:rsidR="006026E7" w:rsidRPr="00A6286F" w:rsidRDefault="006026E7" w:rsidP="006026E7">
            <w:pPr>
              <w:widowControl/>
              <w:numPr>
                <w:ilvl w:val="0"/>
                <w:numId w:val="1"/>
              </w:numPr>
              <w:tabs>
                <w:tab w:val="num" w:pos="426"/>
              </w:tabs>
              <w:autoSpaceDE/>
              <w:autoSpaceDN/>
              <w:adjustRightInd/>
              <w:ind w:left="0" w:firstLine="0"/>
              <w:jc w:val="both"/>
              <w:rPr>
                <w:i/>
                <w:lang w:val="ru-RU"/>
              </w:rPr>
            </w:pPr>
            <w:r w:rsidRPr="00A6286F">
              <w:rPr>
                <w:i/>
                <w:lang w:val="ru-RU"/>
              </w:rPr>
              <w:t>Съответствие на Линейния график с предложен</w:t>
            </w:r>
            <w:r w:rsidR="00F82FA9" w:rsidRPr="00A6286F">
              <w:rPr>
                <w:i/>
                <w:lang w:val="ru-RU"/>
              </w:rPr>
              <w:t>ата техническа обезпеченост,</w:t>
            </w:r>
            <w:r w:rsidRPr="00A6286F">
              <w:rPr>
                <w:i/>
                <w:lang w:val="ru-RU"/>
              </w:rPr>
              <w:t xml:space="preserve"> организация и подход </w:t>
            </w:r>
            <w:r w:rsidR="00F82FA9" w:rsidRPr="00A6286F">
              <w:rPr>
                <w:i/>
                <w:lang w:val="ru-RU"/>
              </w:rPr>
              <w:t>при</w:t>
            </w:r>
            <w:r w:rsidRPr="00A6286F">
              <w:rPr>
                <w:i/>
                <w:lang w:val="ru-RU"/>
              </w:rPr>
              <w:t xml:space="preserve"> изпълнение на поръчката.</w:t>
            </w:r>
          </w:p>
          <w:p w:rsidR="009F591A" w:rsidRPr="00A6286F" w:rsidRDefault="009F591A" w:rsidP="00F900BE">
            <w:pPr>
              <w:jc w:val="both"/>
              <w:rPr>
                <w:i/>
                <w:lang w:val="ru-RU"/>
              </w:rPr>
            </w:pPr>
          </w:p>
          <w:p w:rsidR="006026E7" w:rsidRPr="00A6286F" w:rsidRDefault="006026E7" w:rsidP="00F900BE">
            <w:pPr>
              <w:jc w:val="both"/>
              <w:rPr>
                <w:i/>
                <w:lang w:val="ru-RU"/>
              </w:rPr>
            </w:pPr>
            <w:r w:rsidRPr="00A6286F">
              <w:rPr>
                <w:i/>
                <w:lang w:val="ru-RU"/>
              </w:rPr>
              <w:t xml:space="preserve">За целите на настоящата методика, използваните в този раздел определения следва да се тълкуват, </w:t>
            </w:r>
            <w:r w:rsidRPr="00A6286F">
              <w:rPr>
                <w:i/>
                <w:lang w:val="ru-RU"/>
              </w:rPr>
              <w:lastRenderedPageBreak/>
              <w:t>както следва:</w:t>
            </w:r>
          </w:p>
          <w:p w:rsidR="006026E7" w:rsidRPr="00A6286F" w:rsidRDefault="006026E7" w:rsidP="006026E7">
            <w:pPr>
              <w:widowControl/>
              <w:numPr>
                <w:ilvl w:val="0"/>
                <w:numId w:val="4"/>
              </w:numPr>
              <w:autoSpaceDE/>
              <w:autoSpaceDN/>
              <w:adjustRightInd/>
              <w:ind w:left="0" w:firstLine="284"/>
              <w:contextualSpacing/>
              <w:jc w:val="both"/>
              <w:rPr>
                <w:i/>
                <w:lang w:val="ru-RU"/>
              </w:rPr>
            </w:pPr>
            <w:r w:rsidRPr="00A6286F">
              <w:rPr>
                <w:i/>
                <w:lang w:val="ru-RU"/>
              </w:rPr>
              <w:t>„Ясно“- посочване на отделните етапи и видове СМР. Следва да се разбира 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6026E7" w:rsidRPr="00A6286F" w:rsidRDefault="006026E7" w:rsidP="006026E7">
            <w:pPr>
              <w:widowControl/>
              <w:numPr>
                <w:ilvl w:val="0"/>
                <w:numId w:val="4"/>
              </w:numPr>
              <w:autoSpaceDE/>
              <w:autoSpaceDN/>
              <w:adjustRightInd/>
              <w:ind w:left="0" w:firstLine="284"/>
              <w:contextualSpacing/>
              <w:jc w:val="both"/>
              <w:rPr>
                <w:i/>
                <w:lang w:val="ru-RU"/>
              </w:rPr>
            </w:pPr>
            <w:r w:rsidRPr="00A6286F">
              <w:rPr>
                <w:i/>
                <w:lang w:val="ru-RU"/>
              </w:rPr>
              <w:t>„Подробно“-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 други факти, имащи отношение към повишаване качеството на изпълнение на поръчката;</w:t>
            </w:r>
          </w:p>
          <w:p w:rsidR="006026E7" w:rsidRPr="00A6286F" w:rsidRDefault="006026E7" w:rsidP="006026E7">
            <w:pPr>
              <w:widowControl/>
              <w:numPr>
                <w:ilvl w:val="0"/>
                <w:numId w:val="4"/>
              </w:numPr>
              <w:autoSpaceDE/>
              <w:autoSpaceDN/>
              <w:adjustRightInd/>
              <w:ind w:left="0" w:firstLine="0"/>
              <w:contextualSpacing/>
              <w:jc w:val="both"/>
              <w:rPr>
                <w:i/>
                <w:lang w:val="ru-RU"/>
              </w:rPr>
            </w:pPr>
            <w:r w:rsidRPr="00A6286F">
              <w:rPr>
                <w:i/>
                <w:lang w:val="ru-RU"/>
              </w:rPr>
              <w:t>„Несъществени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6271" w:type="dxa"/>
            <w:tcBorders>
              <w:top w:val="single" w:sz="4" w:space="0" w:color="auto"/>
              <w:left w:val="single" w:sz="4" w:space="0" w:color="auto"/>
              <w:bottom w:val="single" w:sz="4" w:space="0" w:color="auto"/>
              <w:right w:val="single" w:sz="4" w:space="0" w:color="auto"/>
            </w:tcBorders>
          </w:tcPr>
          <w:p w:rsidR="006026E7" w:rsidRPr="00A6286F" w:rsidRDefault="006026E7" w:rsidP="00F900BE">
            <w:pPr>
              <w:jc w:val="both"/>
              <w:rPr>
                <w:b/>
                <w:i/>
                <w:lang w:val="ru-RU"/>
              </w:rPr>
            </w:pPr>
            <w:r w:rsidRPr="00A6286F">
              <w:rPr>
                <w:b/>
                <w:i/>
                <w:lang w:val="ru-RU"/>
              </w:rPr>
              <w:lastRenderedPageBreak/>
              <w:t>В техническото предложение е обърнато внимание на всеки един от факторите, и е в сила всяко едно от следните обстоятелства:</w:t>
            </w:r>
          </w:p>
          <w:p w:rsidR="006026E7" w:rsidRPr="00A6286F" w:rsidRDefault="006026E7" w:rsidP="00F900BE">
            <w:pPr>
              <w:jc w:val="both"/>
              <w:rPr>
                <w:i/>
                <w:lang w:val="ru-RU"/>
              </w:rPr>
            </w:pPr>
            <w:r w:rsidRPr="00A6286F">
              <w:rPr>
                <w:i/>
                <w:lang w:val="ru-RU"/>
              </w:rPr>
              <w:t xml:space="preserve">- В обяснителната записка от техническото предложение към офертата се съдържат подробно посочени предложения за реализирането на всички </w:t>
            </w:r>
            <w:r w:rsidR="002932CC" w:rsidRPr="00A6286F">
              <w:rPr>
                <w:i/>
                <w:lang w:val="ru-RU"/>
              </w:rPr>
              <w:t xml:space="preserve">етапи и конкретните </w:t>
            </w:r>
            <w:r w:rsidRPr="00A6286F">
              <w:rPr>
                <w:i/>
                <w:lang w:val="ru-RU"/>
              </w:rPr>
              <w:t xml:space="preserve">дейности в техническото задание. Изложени са подробно мотиви относно предложената последователност на тяхното изпълнение. От описанието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 обоснована; </w:t>
            </w:r>
          </w:p>
          <w:p w:rsidR="006026E7" w:rsidRPr="00A6286F" w:rsidRDefault="006026E7" w:rsidP="009C4454">
            <w:pPr>
              <w:jc w:val="both"/>
              <w:rPr>
                <w:i/>
                <w:lang w:val="ru-RU"/>
              </w:rPr>
            </w:pPr>
            <w:r w:rsidRPr="00A6286F">
              <w:rPr>
                <w:i/>
                <w:lang w:val="ru-RU"/>
              </w:rPr>
              <w:t xml:space="preserve">- От </w:t>
            </w:r>
            <w:r w:rsidR="00706A37" w:rsidRPr="00A6286F">
              <w:rPr>
                <w:i/>
                <w:lang w:val="ru-RU"/>
              </w:rPr>
              <w:t xml:space="preserve">обяснителната записка и предложения линеен график към </w:t>
            </w:r>
            <w:r w:rsidRPr="00A6286F">
              <w:rPr>
                <w:i/>
                <w:lang w:val="ru-RU"/>
              </w:rPr>
              <w:t>техническото предложение е видно по безспорен начин, че 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EF3E0F" w:rsidRPr="00A6286F" w:rsidRDefault="006026E7" w:rsidP="00EF3E0F">
            <w:pPr>
              <w:jc w:val="both"/>
              <w:rPr>
                <w:i/>
                <w:lang w:val="ru-RU"/>
              </w:rPr>
            </w:pPr>
            <w:r w:rsidRPr="00A6286F">
              <w:rPr>
                <w:i/>
                <w:lang w:val="ru-RU"/>
              </w:rPr>
              <w:t xml:space="preserve">- </w:t>
            </w:r>
            <w:r w:rsidR="00EF3E0F" w:rsidRPr="00A6286F">
              <w:rPr>
                <w:i/>
                <w:lang w:val="ru-RU"/>
              </w:rPr>
              <w:t>Доставката на материали е съобразена с посоченото в линейния график начало и край на изпълнение на всички дейности в техническото задание;</w:t>
            </w:r>
          </w:p>
          <w:p w:rsidR="00E173D7" w:rsidRPr="00A6286F" w:rsidRDefault="00E173D7" w:rsidP="00E173D7">
            <w:pPr>
              <w:jc w:val="both"/>
              <w:rPr>
                <w:i/>
                <w:lang w:val="ru-RU"/>
              </w:rPr>
            </w:pPr>
            <w:r w:rsidRPr="00A6286F">
              <w:rPr>
                <w:i/>
                <w:lang w:val="ru-RU"/>
              </w:rPr>
              <w:t xml:space="preserve">- В обяснителната записка от техническото предложение към офертата ясно и подробно са посочени видовете материали и изделия, които участникът ще използва за изпълнението на поръчката, като същите изцяло покриват изискванията на </w:t>
            </w:r>
            <w:r w:rsidRPr="00A6286F">
              <w:rPr>
                <w:i/>
                <w:lang w:val="ru-RU"/>
              </w:rPr>
              <w:lastRenderedPageBreak/>
              <w:t>възложителя;</w:t>
            </w:r>
          </w:p>
          <w:p w:rsidR="009C4454" w:rsidRPr="00A6286F" w:rsidRDefault="009C4454" w:rsidP="00F900BE">
            <w:pPr>
              <w:jc w:val="both"/>
              <w:rPr>
                <w:i/>
                <w:lang w:val="ru-RU"/>
              </w:rPr>
            </w:pPr>
          </w:p>
        </w:tc>
        <w:tc>
          <w:tcPr>
            <w:tcW w:w="1134" w:type="dxa"/>
            <w:tcBorders>
              <w:top w:val="single" w:sz="4" w:space="0" w:color="auto"/>
              <w:left w:val="single" w:sz="4" w:space="0" w:color="auto"/>
              <w:right w:val="single" w:sz="4" w:space="0" w:color="auto"/>
            </w:tcBorders>
            <w:shd w:val="clear" w:color="auto" w:fill="auto"/>
          </w:tcPr>
          <w:p w:rsidR="006026E7" w:rsidRPr="00A6286F" w:rsidRDefault="00DD46D7" w:rsidP="00F900BE">
            <w:pPr>
              <w:jc w:val="both"/>
              <w:rPr>
                <w:bCs/>
                <w:i/>
              </w:rPr>
            </w:pPr>
            <w:r w:rsidRPr="00A6286F">
              <w:rPr>
                <w:bCs/>
                <w:i/>
              </w:rPr>
              <w:lastRenderedPageBreak/>
              <w:t>15</w:t>
            </w:r>
            <w:r w:rsidR="006026E7" w:rsidRPr="00A6286F">
              <w:rPr>
                <w:bCs/>
                <w:i/>
              </w:rPr>
              <w:t xml:space="preserve"> точки</w:t>
            </w:r>
          </w:p>
          <w:p w:rsidR="006026E7" w:rsidRPr="00A6286F" w:rsidRDefault="006026E7" w:rsidP="00F900BE">
            <w:pPr>
              <w:jc w:val="both"/>
              <w:rPr>
                <w:bCs/>
                <w:i/>
              </w:rPr>
            </w:pPr>
          </w:p>
          <w:p w:rsidR="006026E7" w:rsidRPr="00A6286F" w:rsidRDefault="006026E7" w:rsidP="00F900BE">
            <w:pPr>
              <w:jc w:val="both"/>
              <w:rPr>
                <w:bCs/>
                <w:i/>
              </w:rPr>
            </w:pPr>
          </w:p>
        </w:tc>
      </w:tr>
      <w:tr w:rsidR="006026E7" w:rsidRPr="00A6286F" w:rsidTr="00197162">
        <w:tc>
          <w:tcPr>
            <w:tcW w:w="2518" w:type="dxa"/>
            <w:vMerge/>
            <w:tcBorders>
              <w:left w:val="single" w:sz="4" w:space="0" w:color="auto"/>
              <w:right w:val="single" w:sz="4" w:space="0" w:color="auto"/>
            </w:tcBorders>
          </w:tcPr>
          <w:p w:rsidR="006026E7" w:rsidRPr="00A6286F" w:rsidRDefault="006026E7" w:rsidP="006026E7">
            <w:pPr>
              <w:widowControl/>
              <w:numPr>
                <w:ilvl w:val="0"/>
                <w:numId w:val="2"/>
              </w:numPr>
              <w:autoSpaceDE/>
              <w:autoSpaceDN/>
              <w:adjustRightInd/>
              <w:ind w:left="0" w:firstLine="0"/>
              <w:jc w:val="both"/>
              <w:rPr>
                <w:i/>
              </w:rPr>
            </w:pPr>
          </w:p>
        </w:tc>
        <w:tc>
          <w:tcPr>
            <w:tcW w:w="6271" w:type="dxa"/>
            <w:tcBorders>
              <w:top w:val="single" w:sz="4" w:space="0" w:color="auto"/>
              <w:left w:val="single" w:sz="4" w:space="0" w:color="auto"/>
              <w:bottom w:val="single" w:sz="4" w:space="0" w:color="auto"/>
              <w:right w:val="single" w:sz="4" w:space="0" w:color="auto"/>
            </w:tcBorders>
          </w:tcPr>
          <w:p w:rsidR="006026E7" w:rsidRPr="00A6286F" w:rsidRDefault="006026E7" w:rsidP="00F900BE">
            <w:pPr>
              <w:jc w:val="both"/>
              <w:rPr>
                <w:b/>
                <w:i/>
                <w:lang w:val="ru-RU"/>
              </w:rPr>
            </w:pPr>
            <w:r w:rsidRPr="00A6286F">
              <w:rPr>
                <w:b/>
                <w:i/>
                <w:lang w:val="ru-RU"/>
              </w:rPr>
              <w:t>В техническото предложение е обърнато внимание на всеки един от факторите, но е в сила поне едно от следните обстоятелства:</w:t>
            </w:r>
          </w:p>
          <w:p w:rsidR="006026E7" w:rsidRPr="00A6286F" w:rsidRDefault="006026E7" w:rsidP="00F900BE">
            <w:pPr>
              <w:jc w:val="both"/>
              <w:rPr>
                <w:i/>
                <w:lang w:val="ru-RU"/>
              </w:rPr>
            </w:pPr>
            <w:r w:rsidRPr="00A6286F">
              <w:rPr>
                <w:i/>
                <w:lang w:val="ru-RU"/>
              </w:rPr>
              <w:t>- 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w:t>
            </w:r>
          </w:p>
          <w:p w:rsidR="006026E7" w:rsidRPr="00A6286F" w:rsidRDefault="006026E7" w:rsidP="00F900BE">
            <w:pPr>
              <w:jc w:val="both"/>
              <w:rPr>
                <w:i/>
                <w:lang w:val="ru-RU"/>
              </w:rPr>
            </w:pPr>
            <w:r w:rsidRPr="00A6286F">
              <w:rPr>
                <w:i/>
                <w:lang w:val="ru-RU"/>
              </w:rPr>
              <w:t>- Участникът е посочил в обяснителната записка от техническото си предложение видовете СМР, но последователността на изпълнението им не е подробно описана и/или не се отнася за всички СМР;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3E7266" w:rsidRPr="00A6286F" w:rsidRDefault="003E7266" w:rsidP="003E7266">
            <w:pPr>
              <w:contextualSpacing/>
              <w:jc w:val="both"/>
              <w:rPr>
                <w:i/>
                <w:lang w:val="ru-RU"/>
              </w:rPr>
            </w:pPr>
            <w:r w:rsidRPr="00A6286F">
              <w:rPr>
                <w:i/>
                <w:lang w:val="ru-RU"/>
              </w:rPr>
              <w:t>- В обяснителната записка от техническото предложение към офертата са посочени видовете материали и изделия, които участникът ще използва за изпълнението на поръчката, като същите частично покриват изискванията на възложителя;</w:t>
            </w:r>
          </w:p>
          <w:p w:rsidR="006026E7" w:rsidRPr="00A6286F" w:rsidRDefault="006026E7" w:rsidP="00F900BE">
            <w:pPr>
              <w:contextualSpacing/>
              <w:jc w:val="both"/>
              <w:rPr>
                <w:i/>
                <w:lang w:val="ru-RU"/>
              </w:rPr>
            </w:pPr>
          </w:p>
        </w:tc>
        <w:tc>
          <w:tcPr>
            <w:tcW w:w="1134" w:type="dxa"/>
            <w:tcBorders>
              <w:left w:val="single" w:sz="4" w:space="0" w:color="auto"/>
              <w:right w:val="single" w:sz="4" w:space="0" w:color="auto"/>
            </w:tcBorders>
            <w:shd w:val="clear" w:color="auto" w:fill="auto"/>
          </w:tcPr>
          <w:p w:rsidR="006026E7" w:rsidRPr="00A6286F" w:rsidRDefault="003B5539" w:rsidP="00F900BE">
            <w:pPr>
              <w:jc w:val="both"/>
              <w:rPr>
                <w:bCs/>
                <w:i/>
              </w:rPr>
            </w:pPr>
            <w:r w:rsidRPr="00A6286F">
              <w:rPr>
                <w:bCs/>
                <w:i/>
              </w:rPr>
              <w:t>5</w:t>
            </w:r>
            <w:r w:rsidR="006026E7" w:rsidRPr="00A6286F">
              <w:rPr>
                <w:bCs/>
                <w:i/>
              </w:rPr>
              <w:t xml:space="preserve"> точки</w:t>
            </w: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tc>
      </w:tr>
      <w:tr w:rsidR="006026E7" w:rsidRPr="00A6286F" w:rsidTr="00197162">
        <w:tc>
          <w:tcPr>
            <w:tcW w:w="2518" w:type="dxa"/>
            <w:vMerge/>
            <w:tcBorders>
              <w:left w:val="single" w:sz="4" w:space="0" w:color="auto"/>
              <w:bottom w:val="single" w:sz="4" w:space="0" w:color="auto"/>
              <w:right w:val="single" w:sz="4" w:space="0" w:color="auto"/>
            </w:tcBorders>
          </w:tcPr>
          <w:p w:rsidR="006026E7" w:rsidRPr="00A6286F" w:rsidRDefault="006026E7" w:rsidP="006026E7">
            <w:pPr>
              <w:widowControl/>
              <w:numPr>
                <w:ilvl w:val="0"/>
                <w:numId w:val="2"/>
              </w:numPr>
              <w:autoSpaceDE/>
              <w:autoSpaceDN/>
              <w:adjustRightInd/>
              <w:ind w:left="0" w:firstLine="0"/>
              <w:jc w:val="both"/>
              <w:rPr>
                <w:i/>
              </w:rPr>
            </w:pPr>
          </w:p>
        </w:tc>
        <w:tc>
          <w:tcPr>
            <w:tcW w:w="6271" w:type="dxa"/>
            <w:tcBorders>
              <w:top w:val="single" w:sz="4" w:space="0" w:color="auto"/>
              <w:left w:val="single" w:sz="4" w:space="0" w:color="auto"/>
              <w:bottom w:val="single" w:sz="4" w:space="0" w:color="auto"/>
              <w:right w:val="single" w:sz="4" w:space="0" w:color="auto"/>
            </w:tcBorders>
          </w:tcPr>
          <w:p w:rsidR="006026E7" w:rsidRPr="00A6286F" w:rsidRDefault="006026E7" w:rsidP="00F900BE">
            <w:pPr>
              <w:jc w:val="both"/>
              <w:rPr>
                <w:b/>
                <w:i/>
                <w:lang w:val="ru-RU"/>
              </w:rPr>
            </w:pPr>
            <w:r w:rsidRPr="00A6286F">
              <w:rPr>
                <w:b/>
                <w:i/>
                <w:lang w:val="ru-RU"/>
              </w:rPr>
              <w:t>В техническото предложение е в сила поне едно от следните обстоятелства:</w:t>
            </w:r>
          </w:p>
          <w:p w:rsidR="006026E7" w:rsidRPr="00A6286F" w:rsidRDefault="006026E7" w:rsidP="00F900BE">
            <w:pPr>
              <w:jc w:val="both"/>
              <w:rPr>
                <w:i/>
                <w:lang w:val="ru-RU"/>
              </w:rPr>
            </w:pPr>
            <w:r w:rsidRPr="00A6286F">
              <w:rPr>
                <w:i/>
                <w:lang w:val="ru-RU"/>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6026E7" w:rsidRPr="00A6286F" w:rsidRDefault="006026E7" w:rsidP="00F900BE">
            <w:pPr>
              <w:jc w:val="both"/>
              <w:rPr>
                <w:i/>
                <w:lang w:val="ru-RU"/>
              </w:rPr>
            </w:pPr>
            <w:r w:rsidRPr="00A6286F">
              <w:rPr>
                <w:i/>
                <w:lang w:val="ru-RU"/>
              </w:rPr>
              <w:t>- Участникът е посочил в</w:t>
            </w:r>
            <w:r w:rsidRPr="00A6286F">
              <w:rPr>
                <w:b/>
                <w:i/>
                <w:lang w:val="ru-RU"/>
              </w:rPr>
              <w:t xml:space="preserve"> </w:t>
            </w:r>
            <w:r w:rsidRPr="00A6286F">
              <w:rPr>
                <w:i/>
                <w:lang w:val="ru-RU"/>
              </w:rPr>
              <w:t>обяснителната записка от техническото си предложение общо и бланково видовете СМР, като  в описаната последователност за тяхното изпълнение има несъответствия между посочената технологична последователност на строителния процес и предвидените за използване технически и човешки ресурси;</w:t>
            </w:r>
          </w:p>
          <w:p w:rsidR="003E7266" w:rsidRPr="00A6286F" w:rsidRDefault="006026E7" w:rsidP="00F900BE">
            <w:pPr>
              <w:contextualSpacing/>
              <w:jc w:val="both"/>
              <w:rPr>
                <w:i/>
                <w:lang w:val="ru-RU"/>
              </w:rPr>
            </w:pPr>
            <w:r w:rsidRPr="00A6286F">
              <w:rPr>
                <w:i/>
                <w:lang w:val="ru-RU"/>
              </w:rPr>
              <w:t>- Участникът не е посочил в обяснителната записка от техническото си предложение видовете материали, които ще използва за изпълнението на поръчката</w:t>
            </w:r>
            <w:r w:rsidR="003E7266" w:rsidRPr="00A6286F">
              <w:rPr>
                <w:i/>
                <w:lang w:val="ru-RU"/>
              </w:rPr>
              <w:t xml:space="preserve">. </w:t>
            </w:r>
          </w:p>
          <w:p w:rsidR="006026E7" w:rsidRPr="00A6286F" w:rsidRDefault="006026E7" w:rsidP="00F900BE">
            <w:pPr>
              <w:contextualSpacing/>
              <w:jc w:val="both"/>
              <w:rPr>
                <w:i/>
                <w:lang w:val="ru-RU"/>
              </w:rPr>
            </w:pPr>
            <w:r w:rsidRPr="00A6286F">
              <w:rPr>
                <w:i/>
                <w:lang w:val="ru-RU"/>
              </w:rPr>
              <w:t>- Налице е констатирано несъответствие между предложените организация и подход на изпълнение на поръчката и представения линеен график</w:t>
            </w:r>
          </w:p>
        </w:tc>
        <w:tc>
          <w:tcPr>
            <w:tcW w:w="1134" w:type="dxa"/>
            <w:tcBorders>
              <w:left w:val="single" w:sz="4" w:space="0" w:color="auto"/>
              <w:bottom w:val="single" w:sz="4" w:space="0" w:color="auto"/>
              <w:right w:val="single" w:sz="4" w:space="0" w:color="auto"/>
            </w:tcBorders>
            <w:shd w:val="clear" w:color="auto" w:fill="auto"/>
          </w:tcPr>
          <w:p w:rsidR="006026E7" w:rsidRPr="00A6286F" w:rsidRDefault="003B5539" w:rsidP="00F900BE">
            <w:pPr>
              <w:jc w:val="both"/>
              <w:rPr>
                <w:bCs/>
                <w:i/>
              </w:rPr>
            </w:pPr>
            <w:r w:rsidRPr="00A6286F">
              <w:rPr>
                <w:bCs/>
                <w:i/>
              </w:rPr>
              <w:t>1</w:t>
            </w:r>
            <w:r w:rsidR="006026E7" w:rsidRPr="00A6286F">
              <w:rPr>
                <w:bCs/>
                <w:i/>
              </w:rPr>
              <w:t xml:space="preserve">  точк</w:t>
            </w:r>
            <w:r w:rsidRPr="00A6286F">
              <w:rPr>
                <w:bCs/>
                <w:i/>
              </w:rPr>
              <w:t>а</w:t>
            </w:r>
            <w:r w:rsidR="006026E7" w:rsidRPr="00A6286F">
              <w:rPr>
                <w:bCs/>
                <w:i/>
              </w:rPr>
              <w:t xml:space="preserve">. </w:t>
            </w: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tc>
      </w:tr>
      <w:tr w:rsidR="006026E7" w:rsidRPr="00A6286F" w:rsidTr="00197162">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6026E7" w:rsidP="00F900BE">
            <w:pPr>
              <w:jc w:val="both"/>
              <w:rPr>
                <w:b/>
                <w:bCs/>
              </w:rPr>
            </w:pPr>
            <w:r w:rsidRPr="00A6286F">
              <w:rPr>
                <w:b/>
                <w:i/>
              </w:rPr>
              <w:t>Б</w:t>
            </w:r>
            <w:r w:rsidR="00AB2867" w:rsidRPr="00A6286F">
              <w:rPr>
                <w:b/>
                <w:i/>
              </w:rPr>
              <w:t>2</w:t>
            </w:r>
            <w:r w:rsidRPr="00A6286F">
              <w:rPr>
                <w:b/>
                <w:i/>
              </w:rPr>
              <w:t>.УПРАВЛЕНИЕ НА РИСКА</w:t>
            </w:r>
            <w:r w:rsidRPr="00A6286F">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6026E7" w:rsidP="00372F78">
            <w:pPr>
              <w:jc w:val="both"/>
              <w:rPr>
                <w:b/>
                <w:bCs/>
              </w:rPr>
            </w:pPr>
            <w:r w:rsidRPr="00A6286F">
              <w:rPr>
                <w:b/>
                <w:bCs/>
              </w:rPr>
              <w:t xml:space="preserve">Макс. брой точки </w:t>
            </w:r>
            <w:r w:rsidR="00372F78" w:rsidRPr="00A6286F">
              <w:rPr>
                <w:b/>
                <w:bCs/>
              </w:rPr>
              <w:t>15</w:t>
            </w:r>
          </w:p>
        </w:tc>
      </w:tr>
      <w:tr w:rsidR="006026E7" w:rsidRPr="00A6286F" w:rsidTr="00197162">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28B" w:rsidRDefault="0032528B" w:rsidP="00F900BE">
            <w:pPr>
              <w:jc w:val="both"/>
              <w:rPr>
                <w:i/>
                <w:lang w:val="ru-RU"/>
              </w:rPr>
            </w:pPr>
          </w:p>
          <w:p w:rsidR="006026E7" w:rsidRPr="00A6286F" w:rsidRDefault="006026E7" w:rsidP="00F900BE">
            <w:pPr>
              <w:jc w:val="both"/>
              <w:rPr>
                <w:i/>
                <w:lang w:val="ru-RU"/>
              </w:rPr>
            </w:pPr>
            <w:r w:rsidRPr="00A6286F">
              <w:rPr>
                <w:i/>
                <w:lang w:val="ru-RU"/>
              </w:rPr>
              <w:lastRenderedPageBreak/>
              <w:t xml:space="preserve">Разглеждат се предложенията на участниците за управление на следните </w:t>
            </w:r>
            <w:r w:rsidRPr="00A6286F">
              <w:rPr>
                <w:i/>
                <w:u w:val="single"/>
                <w:lang w:val="ru-RU"/>
              </w:rPr>
              <w:t>дефинирани от възложителя рискове</w:t>
            </w:r>
            <w:r w:rsidRPr="00A6286F">
              <w:rPr>
                <w:i/>
                <w:lang w:val="ru-RU"/>
              </w:rPr>
              <w:t>, които могат да възникнат при изпълнението на договора:</w:t>
            </w:r>
          </w:p>
          <w:p w:rsidR="006026E7" w:rsidRPr="00A6286F" w:rsidRDefault="006026E7" w:rsidP="00F900BE">
            <w:pPr>
              <w:jc w:val="both"/>
              <w:rPr>
                <w:i/>
                <w:lang w:val="ru-RU"/>
              </w:rPr>
            </w:pPr>
            <w:r w:rsidRPr="00A6286F">
              <w:rPr>
                <w:i/>
                <w:lang w:val="ru-RU"/>
              </w:rPr>
              <w:t>1. Времеви рискове:</w:t>
            </w:r>
          </w:p>
          <w:p w:rsidR="006026E7" w:rsidRPr="00A6286F" w:rsidRDefault="006026E7" w:rsidP="00F900BE">
            <w:pPr>
              <w:jc w:val="both"/>
              <w:rPr>
                <w:i/>
                <w:lang w:val="ru-RU"/>
              </w:rPr>
            </w:pPr>
            <w:r w:rsidRPr="00A6286F">
              <w:rPr>
                <w:i/>
                <w:lang w:val="ru-RU"/>
              </w:rPr>
              <w:t>- Закъснение началото на започване на работите;</w:t>
            </w:r>
          </w:p>
          <w:p w:rsidR="006026E7" w:rsidRPr="00A6286F" w:rsidRDefault="006026E7" w:rsidP="00F900BE">
            <w:pPr>
              <w:jc w:val="both"/>
              <w:rPr>
                <w:i/>
                <w:lang w:val="ru-RU"/>
              </w:rPr>
            </w:pPr>
            <w:r w:rsidRPr="00A6286F">
              <w:rPr>
                <w:i/>
                <w:lang w:val="ru-RU"/>
              </w:rPr>
              <w:t>- Изоставане от графика при текущото изпълнение на дейностите;</w:t>
            </w:r>
          </w:p>
          <w:p w:rsidR="006026E7" w:rsidRPr="00A6286F" w:rsidRDefault="006026E7" w:rsidP="00F900BE">
            <w:pPr>
              <w:jc w:val="both"/>
              <w:rPr>
                <w:i/>
                <w:lang w:val="ru-RU"/>
              </w:rPr>
            </w:pPr>
            <w:r w:rsidRPr="00A6286F">
              <w:rPr>
                <w:i/>
                <w:lang w:val="ru-RU"/>
              </w:rPr>
              <w:t>- Риск от закъснение за окончателно приключване и предаване на обекта;</w:t>
            </w:r>
          </w:p>
          <w:p w:rsidR="006026E7" w:rsidRPr="00A6286F" w:rsidRDefault="006026E7" w:rsidP="00F900BE">
            <w:pPr>
              <w:jc w:val="both"/>
              <w:rPr>
                <w:i/>
                <w:lang w:val="ru-RU"/>
              </w:rPr>
            </w:pPr>
            <w:r w:rsidRPr="00A6286F">
              <w:rPr>
                <w:i/>
                <w:lang w:val="ru-RU"/>
              </w:rPr>
              <w:t>2. Липса/недостатъчно съдействие и/или информация от страна на други участници в строителния процес;</w:t>
            </w:r>
          </w:p>
          <w:p w:rsidR="006026E7" w:rsidRPr="00A6286F" w:rsidRDefault="0032528B" w:rsidP="00F900BE">
            <w:pPr>
              <w:jc w:val="both"/>
              <w:rPr>
                <w:i/>
                <w:lang w:val="ru-RU"/>
              </w:rPr>
            </w:pPr>
            <w:r>
              <w:rPr>
                <w:i/>
                <w:lang w:val="ru-RU"/>
              </w:rPr>
              <w:t>3</w:t>
            </w:r>
            <w:r w:rsidR="006026E7" w:rsidRPr="00A6286F">
              <w:rPr>
                <w:i/>
                <w:lang w:val="ru-RU"/>
              </w:rPr>
              <w:t>. Трудности при изпълнението на проекта, продиктувани от непълноти и/или неточ</w:t>
            </w:r>
            <w:r w:rsidR="00D71CF5" w:rsidRPr="00A6286F">
              <w:rPr>
                <w:i/>
                <w:lang w:val="ru-RU"/>
              </w:rPr>
              <w:t>ности в проектната документация;</w:t>
            </w:r>
          </w:p>
          <w:p w:rsidR="00E667E0" w:rsidRPr="00A6286F" w:rsidRDefault="0032528B" w:rsidP="00F900BE">
            <w:pPr>
              <w:jc w:val="both"/>
              <w:rPr>
                <w:i/>
                <w:lang w:val="ru-RU"/>
              </w:rPr>
            </w:pPr>
            <w:r>
              <w:rPr>
                <w:i/>
                <w:lang w:val="ru-RU"/>
              </w:rPr>
              <w:t>4</w:t>
            </w:r>
            <w:r w:rsidR="00E667E0" w:rsidRPr="00A6286F">
              <w:rPr>
                <w:i/>
                <w:lang w:val="ru-RU"/>
              </w:rPr>
              <w:t>. Трудности, породени от утежнени условия на обекта</w:t>
            </w:r>
            <w:r w:rsidR="00D71CF5" w:rsidRPr="00A6286F">
              <w:rPr>
                <w:i/>
                <w:lang w:val="ru-RU"/>
              </w:rPr>
              <w:t xml:space="preserve"> - </w:t>
            </w:r>
            <w:r w:rsidR="00E667E0" w:rsidRPr="00A6286F">
              <w:rPr>
                <w:i/>
                <w:lang w:val="ru-RU"/>
              </w:rPr>
              <w:t>наличие на подземни комуникации</w:t>
            </w:r>
            <w:r w:rsidR="00D71CF5" w:rsidRPr="00A6286F">
              <w:rPr>
                <w:i/>
                <w:lang w:val="ru-RU"/>
              </w:rPr>
              <w:t>, подлежащи на запазване и/или реконструиране;</w:t>
            </w:r>
          </w:p>
          <w:p w:rsidR="00D71CF5" w:rsidRPr="00A6286F" w:rsidRDefault="0032528B" w:rsidP="00F900BE">
            <w:pPr>
              <w:jc w:val="both"/>
              <w:rPr>
                <w:i/>
                <w:lang w:val="ru-RU"/>
              </w:rPr>
            </w:pPr>
            <w:r>
              <w:rPr>
                <w:i/>
                <w:lang w:val="ru-RU"/>
              </w:rPr>
              <w:t>5</w:t>
            </w:r>
            <w:r w:rsidR="00D71CF5" w:rsidRPr="00A6286F">
              <w:rPr>
                <w:i/>
                <w:lang w:val="ru-RU"/>
              </w:rPr>
              <w:t>. Трудности, породени от утежнени условия на обекта – работа в жилищен район с непрекъснат поток от хора и превозни средства</w:t>
            </w:r>
          </w:p>
          <w:p w:rsidR="0032528B" w:rsidRDefault="0032528B" w:rsidP="00F900BE">
            <w:pPr>
              <w:jc w:val="both"/>
              <w:rPr>
                <w:i/>
                <w:lang w:val="ru-RU"/>
              </w:rPr>
            </w:pPr>
          </w:p>
          <w:p w:rsidR="006026E7" w:rsidRPr="00A6286F" w:rsidRDefault="006026E7" w:rsidP="00F900BE">
            <w:pPr>
              <w:jc w:val="both"/>
              <w:rPr>
                <w:b/>
                <w:lang w:val="ru-RU"/>
              </w:rPr>
            </w:pPr>
            <w:r w:rsidRPr="00A6286F">
              <w:rPr>
                <w:i/>
                <w:lang w:val="ru-RU"/>
              </w:rPr>
              <w:t>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6E7" w:rsidRPr="00A6286F" w:rsidRDefault="006026E7" w:rsidP="00F900BE">
            <w:pPr>
              <w:jc w:val="both"/>
              <w:rPr>
                <w:b/>
                <w:bCs/>
                <w:lang w:val="ru-RU"/>
              </w:rPr>
            </w:pPr>
          </w:p>
        </w:tc>
      </w:tr>
      <w:tr w:rsidR="006026E7" w:rsidRPr="00A6286F" w:rsidTr="00197162">
        <w:tc>
          <w:tcPr>
            <w:tcW w:w="2518" w:type="dxa"/>
            <w:vMerge w:val="restart"/>
            <w:tcBorders>
              <w:top w:val="single" w:sz="4" w:space="0" w:color="auto"/>
              <w:left w:val="single" w:sz="4" w:space="0" w:color="auto"/>
              <w:right w:val="single" w:sz="4" w:space="0" w:color="auto"/>
            </w:tcBorders>
          </w:tcPr>
          <w:p w:rsidR="006026E7" w:rsidRPr="00A6286F" w:rsidRDefault="006026E7" w:rsidP="00F900BE">
            <w:pPr>
              <w:contextualSpacing/>
              <w:jc w:val="both"/>
              <w:rPr>
                <w:b/>
                <w:i/>
                <w:lang w:val="ru-RU"/>
              </w:rPr>
            </w:pPr>
            <w:r w:rsidRPr="00A6286F">
              <w:rPr>
                <w:b/>
                <w:i/>
                <w:lang w:val="ru-RU"/>
              </w:rPr>
              <w:lastRenderedPageBreak/>
              <w:t>Фактори, влияещи на оценката:</w:t>
            </w:r>
          </w:p>
          <w:p w:rsidR="006026E7" w:rsidRPr="00A6286F" w:rsidRDefault="006026E7" w:rsidP="00F900BE">
            <w:pPr>
              <w:contextualSpacing/>
              <w:jc w:val="both"/>
              <w:rPr>
                <w:i/>
                <w:lang w:val="ru-RU"/>
              </w:rPr>
            </w:pPr>
          </w:p>
          <w:p w:rsidR="006026E7" w:rsidRPr="00A6286F" w:rsidRDefault="006026E7" w:rsidP="00F900BE">
            <w:pPr>
              <w:ind w:firstLine="142"/>
              <w:contextualSpacing/>
              <w:jc w:val="both"/>
              <w:rPr>
                <w:i/>
                <w:lang w:val="ru-RU"/>
              </w:rPr>
            </w:pPr>
            <w:r w:rsidRPr="00A6286F">
              <w:rPr>
                <w:i/>
                <w:lang w:val="ru-RU"/>
              </w:rPr>
              <w:t>Разгледани аспекти и сфери на влияние на описаните рискове;</w:t>
            </w:r>
          </w:p>
          <w:p w:rsidR="006026E7" w:rsidRPr="00A6286F" w:rsidRDefault="006026E7" w:rsidP="00F900BE">
            <w:pPr>
              <w:ind w:firstLine="142"/>
              <w:contextualSpacing/>
              <w:jc w:val="both"/>
              <w:rPr>
                <w:i/>
                <w:lang w:val="ru-RU"/>
              </w:rPr>
            </w:pPr>
            <w:r w:rsidRPr="00A6286F">
              <w:rPr>
                <w:i/>
                <w:lang w:val="ru-RU"/>
              </w:rPr>
              <w:t>- Мерки за въздействие върху изпълнението на договора при възникването на риска;</w:t>
            </w:r>
          </w:p>
          <w:p w:rsidR="006026E7" w:rsidRPr="00A6286F" w:rsidRDefault="006026E7" w:rsidP="00F900BE">
            <w:pPr>
              <w:ind w:firstLine="142"/>
              <w:contextualSpacing/>
              <w:jc w:val="both"/>
              <w:rPr>
                <w:i/>
                <w:lang w:val="ru-RU"/>
              </w:rPr>
            </w:pPr>
            <w:r w:rsidRPr="00A6286F">
              <w:rPr>
                <w:i/>
                <w:lang w:val="ru-RU"/>
              </w:rPr>
              <w:t>- Мерки за недопускане/ предотвратяване на риска;</w:t>
            </w:r>
          </w:p>
          <w:p w:rsidR="006026E7" w:rsidRPr="00A6286F" w:rsidRDefault="006026E7" w:rsidP="00F900BE">
            <w:pPr>
              <w:jc w:val="both"/>
              <w:rPr>
                <w:i/>
                <w:lang w:val="ru-RU"/>
              </w:rPr>
            </w:pPr>
            <w:r w:rsidRPr="00A6286F">
              <w:rPr>
                <w:i/>
                <w:lang w:val="ru-RU"/>
              </w:rPr>
              <w:t xml:space="preserve">- Мерки за преодоляване на последиците при настъпване на риска. </w:t>
            </w:r>
          </w:p>
          <w:p w:rsidR="006026E7" w:rsidRPr="00A6286F" w:rsidRDefault="006026E7" w:rsidP="00F900BE">
            <w:pPr>
              <w:contextualSpacing/>
              <w:jc w:val="both"/>
              <w:rPr>
                <w:i/>
                <w:lang w:val="ru-RU"/>
              </w:rPr>
            </w:pPr>
          </w:p>
        </w:tc>
        <w:tc>
          <w:tcPr>
            <w:tcW w:w="6271" w:type="dxa"/>
            <w:tcBorders>
              <w:top w:val="single" w:sz="4" w:space="0" w:color="auto"/>
              <w:left w:val="single" w:sz="4" w:space="0" w:color="auto"/>
              <w:bottom w:val="single" w:sz="4" w:space="0" w:color="auto"/>
              <w:right w:val="single" w:sz="4" w:space="0" w:color="auto"/>
            </w:tcBorders>
          </w:tcPr>
          <w:p w:rsidR="006026E7" w:rsidRPr="00A6286F" w:rsidRDefault="006026E7" w:rsidP="00F900BE">
            <w:pPr>
              <w:jc w:val="both"/>
              <w:rPr>
                <w:b/>
                <w:i/>
                <w:lang w:val="ru-RU"/>
              </w:rPr>
            </w:pPr>
            <w:r w:rsidRPr="00A6286F">
              <w:rPr>
                <w:b/>
                <w:i/>
                <w:lang w:val="ru-RU"/>
              </w:rPr>
              <w:t>В техническото предложение е обърнато задълбочено внимание на всеки един от рисковете, и е в сила всяко едно от следните обстоятелства:</w:t>
            </w:r>
          </w:p>
          <w:p w:rsidR="006026E7" w:rsidRPr="00A6286F" w:rsidRDefault="006026E7" w:rsidP="00F900BE">
            <w:pPr>
              <w:jc w:val="both"/>
              <w:rPr>
                <w:i/>
                <w:lang w:val="ru-RU"/>
              </w:rPr>
            </w:pPr>
            <w:r w:rsidRPr="00A6286F">
              <w:rPr>
                <w:i/>
                <w:lang w:val="ru-RU"/>
              </w:rPr>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6026E7" w:rsidRPr="00A6286F" w:rsidRDefault="006026E7" w:rsidP="00F900BE">
            <w:pPr>
              <w:jc w:val="both"/>
              <w:rPr>
                <w:bCs/>
                <w:i/>
                <w:lang w:val="ru-RU"/>
              </w:rPr>
            </w:pPr>
            <w:r w:rsidRPr="00A6286F">
              <w:rPr>
                <w:i/>
                <w:lang w:val="ru-RU"/>
              </w:rPr>
              <w:t>- Участникът е предложил мерки за предотвратяване и/или управление на дефинираните аспекти от риска.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r w:rsidRPr="00A6286F">
              <w:rPr>
                <w:b/>
                <w:i/>
                <w:lang w:val="ru-RU"/>
              </w:rPr>
              <w:t>.</w:t>
            </w:r>
          </w:p>
        </w:tc>
        <w:tc>
          <w:tcPr>
            <w:tcW w:w="1134" w:type="dxa"/>
            <w:tcBorders>
              <w:top w:val="single" w:sz="4" w:space="0" w:color="auto"/>
              <w:left w:val="single" w:sz="4" w:space="0" w:color="auto"/>
              <w:right w:val="single" w:sz="4" w:space="0" w:color="auto"/>
            </w:tcBorders>
            <w:shd w:val="clear" w:color="auto" w:fill="auto"/>
          </w:tcPr>
          <w:p w:rsidR="006026E7" w:rsidRPr="00A6286F" w:rsidRDefault="009F2033" w:rsidP="00F900BE">
            <w:pPr>
              <w:jc w:val="both"/>
              <w:rPr>
                <w:bCs/>
                <w:i/>
              </w:rPr>
            </w:pPr>
            <w:r w:rsidRPr="00A6286F">
              <w:rPr>
                <w:bCs/>
                <w:i/>
              </w:rPr>
              <w:t>15</w:t>
            </w:r>
            <w:r w:rsidR="006026E7" w:rsidRPr="00A6286F">
              <w:rPr>
                <w:bCs/>
                <w:i/>
              </w:rPr>
              <w:t xml:space="preserve"> точки.</w:t>
            </w:r>
          </w:p>
        </w:tc>
      </w:tr>
      <w:tr w:rsidR="006026E7" w:rsidRPr="00A6286F" w:rsidTr="00197162">
        <w:trPr>
          <w:trHeight w:val="2461"/>
        </w:trPr>
        <w:tc>
          <w:tcPr>
            <w:tcW w:w="2518" w:type="dxa"/>
            <w:vMerge/>
            <w:tcBorders>
              <w:left w:val="single" w:sz="4" w:space="0" w:color="auto"/>
              <w:right w:val="single" w:sz="4" w:space="0" w:color="auto"/>
            </w:tcBorders>
          </w:tcPr>
          <w:p w:rsidR="006026E7" w:rsidRPr="00A6286F" w:rsidRDefault="006026E7" w:rsidP="006026E7">
            <w:pPr>
              <w:widowControl/>
              <w:numPr>
                <w:ilvl w:val="0"/>
                <w:numId w:val="2"/>
              </w:numPr>
              <w:autoSpaceDE/>
              <w:autoSpaceDN/>
              <w:adjustRightInd/>
              <w:ind w:left="0" w:firstLine="0"/>
              <w:jc w:val="both"/>
              <w:rPr>
                <w:i/>
              </w:rPr>
            </w:pPr>
          </w:p>
        </w:tc>
        <w:tc>
          <w:tcPr>
            <w:tcW w:w="6271" w:type="dxa"/>
            <w:tcBorders>
              <w:top w:val="single" w:sz="4" w:space="0" w:color="auto"/>
              <w:left w:val="single" w:sz="4" w:space="0" w:color="auto"/>
              <w:bottom w:val="single" w:sz="4" w:space="0" w:color="auto"/>
              <w:right w:val="single" w:sz="4" w:space="0" w:color="auto"/>
            </w:tcBorders>
          </w:tcPr>
          <w:p w:rsidR="006026E7" w:rsidRPr="00A6286F" w:rsidRDefault="006026E7" w:rsidP="00F900BE">
            <w:pPr>
              <w:jc w:val="both"/>
              <w:rPr>
                <w:b/>
                <w:i/>
                <w:lang w:val="ru-RU"/>
              </w:rPr>
            </w:pPr>
            <w:r w:rsidRPr="00A6286F">
              <w:rPr>
                <w:b/>
                <w:i/>
                <w:lang w:val="ru-RU"/>
              </w:rPr>
              <w:t>В техническата оферта е обърнато внимание на всеки един от рисковете, но е в сила поне едно от следното:</w:t>
            </w:r>
          </w:p>
          <w:p w:rsidR="006026E7" w:rsidRPr="00A6286F" w:rsidRDefault="006026E7" w:rsidP="00F900BE">
            <w:pPr>
              <w:jc w:val="both"/>
              <w:rPr>
                <w:i/>
                <w:lang w:val="ru-RU"/>
              </w:rPr>
            </w:pPr>
            <w:r w:rsidRPr="00A6286F">
              <w:rPr>
                <w:i/>
                <w:lang w:val="ru-RU"/>
              </w:rPr>
              <w:t>-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оценени.</w:t>
            </w:r>
          </w:p>
          <w:p w:rsidR="006026E7" w:rsidRPr="00A6286F" w:rsidRDefault="006026E7" w:rsidP="00F900BE">
            <w:pPr>
              <w:contextualSpacing/>
              <w:jc w:val="both"/>
              <w:rPr>
                <w:i/>
                <w:lang w:val="ru-RU"/>
              </w:rPr>
            </w:pPr>
            <w:r w:rsidRPr="00A6286F">
              <w:rPr>
                <w:i/>
                <w:lang w:val="ru-RU"/>
              </w:rPr>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134" w:type="dxa"/>
            <w:tcBorders>
              <w:left w:val="single" w:sz="4" w:space="0" w:color="auto"/>
              <w:right w:val="single" w:sz="4" w:space="0" w:color="auto"/>
            </w:tcBorders>
            <w:shd w:val="clear" w:color="auto" w:fill="auto"/>
          </w:tcPr>
          <w:p w:rsidR="006026E7" w:rsidRPr="00A6286F" w:rsidRDefault="003B5539" w:rsidP="00F900BE">
            <w:pPr>
              <w:jc w:val="both"/>
              <w:rPr>
                <w:bCs/>
                <w:i/>
              </w:rPr>
            </w:pPr>
            <w:r w:rsidRPr="00A6286F">
              <w:rPr>
                <w:bCs/>
                <w:i/>
              </w:rPr>
              <w:t>5</w:t>
            </w:r>
            <w:r w:rsidR="006026E7" w:rsidRPr="00A6286F">
              <w:rPr>
                <w:bCs/>
                <w:i/>
              </w:rPr>
              <w:t>точки.</w:t>
            </w:r>
          </w:p>
          <w:p w:rsidR="006026E7" w:rsidRPr="00A6286F" w:rsidRDefault="006026E7" w:rsidP="00F900BE">
            <w:pPr>
              <w:jc w:val="both"/>
              <w:rPr>
                <w:bCs/>
                <w:i/>
              </w:rPr>
            </w:pPr>
          </w:p>
          <w:p w:rsidR="006026E7" w:rsidRPr="00A6286F" w:rsidRDefault="006026E7" w:rsidP="00F900BE">
            <w:pPr>
              <w:jc w:val="both"/>
              <w:rPr>
                <w:bCs/>
                <w:i/>
              </w:rPr>
            </w:pPr>
          </w:p>
          <w:p w:rsidR="006026E7" w:rsidRPr="00A6286F" w:rsidRDefault="006026E7" w:rsidP="00F900BE">
            <w:pPr>
              <w:jc w:val="both"/>
              <w:rPr>
                <w:bCs/>
                <w:i/>
              </w:rPr>
            </w:pPr>
          </w:p>
        </w:tc>
      </w:tr>
      <w:tr w:rsidR="006026E7" w:rsidRPr="0057335A" w:rsidTr="00197162">
        <w:tc>
          <w:tcPr>
            <w:tcW w:w="2518" w:type="dxa"/>
            <w:vMerge/>
            <w:tcBorders>
              <w:left w:val="single" w:sz="4" w:space="0" w:color="auto"/>
              <w:bottom w:val="single" w:sz="4" w:space="0" w:color="auto"/>
              <w:right w:val="single" w:sz="4" w:space="0" w:color="auto"/>
            </w:tcBorders>
          </w:tcPr>
          <w:p w:rsidR="006026E7" w:rsidRPr="00A6286F" w:rsidRDefault="006026E7" w:rsidP="006026E7">
            <w:pPr>
              <w:widowControl/>
              <w:numPr>
                <w:ilvl w:val="0"/>
                <w:numId w:val="2"/>
              </w:numPr>
              <w:autoSpaceDE/>
              <w:autoSpaceDN/>
              <w:adjustRightInd/>
              <w:ind w:left="0" w:firstLine="0"/>
              <w:jc w:val="both"/>
              <w:rPr>
                <w:i/>
              </w:rPr>
            </w:pPr>
          </w:p>
        </w:tc>
        <w:tc>
          <w:tcPr>
            <w:tcW w:w="6271" w:type="dxa"/>
            <w:tcBorders>
              <w:top w:val="single" w:sz="4" w:space="0" w:color="auto"/>
              <w:left w:val="single" w:sz="4" w:space="0" w:color="auto"/>
              <w:bottom w:val="single" w:sz="4" w:space="0" w:color="auto"/>
              <w:right w:val="single" w:sz="4" w:space="0" w:color="auto"/>
            </w:tcBorders>
          </w:tcPr>
          <w:p w:rsidR="006026E7" w:rsidRPr="00A6286F" w:rsidRDefault="006026E7" w:rsidP="00F900BE">
            <w:pPr>
              <w:jc w:val="both"/>
              <w:rPr>
                <w:b/>
                <w:i/>
                <w:lang w:val="ru-RU"/>
              </w:rPr>
            </w:pPr>
            <w:r w:rsidRPr="00A6286F">
              <w:rPr>
                <w:b/>
                <w:i/>
                <w:lang w:val="ru-RU"/>
              </w:rPr>
              <w:t>В техническата оферта е в сила поне едно от следните обстоятелства:</w:t>
            </w:r>
          </w:p>
          <w:p w:rsidR="006026E7" w:rsidRPr="00A6286F" w:rsidRDefault="006026E7" w:rsidP="00F900BE">
            <w:pPr>
              <w:jc w:val="both"/>
              <w:rPr>
                <w:i/>
                <w:lang w:val="ru-RU"/>
              </w:rPr>
            </w:pPr>
            <w:r w:rsidRPr="00A6286F">
              <w:rPr>
                <w:i/>
                <w:lang w:val="ru-RU"/>
              </w:rPr>
              <w:t>- Липсва описание на мерки за предотвратяване/преодоляване/управление на един или повече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p>
          <w:p w:rsidR="006026E7" w:rsidRPr="00A6286F" w:rsidRDefault="006026E7" w:rsidP="00F900BE">
            <w:pPr>
              <w:jc w:val="both"/>
              <w:rPr>
                <w:i/>
                <w:lang w:val="ru-RU"/>
              </w:rPr>
            </w:pPr>
            <w:r w:rsidRPr="00A6286F">
              <w:rPr>
                <w:i/>
                <w:lang w:val="ru-RU"/>
              </w:rPr>
              <w:t>- Предложени са мерки за управление на посочените рискове, но те не са от естество, позволяващо предотвратяването и/или преодоляването им.</w:t>
            </w:r>
          </w:p>
        </w:tc>
        <w:tc>
          <w:tcPr>
            <w:tcW w:w="1134" w:type="dxa"/>
            <w:tcBorders>
              <w:left w:val="single" w:sz="4" w:space="0" w:color="auto"/>
              <w:bottom w:val="single" w:sz="4" w:space="0" w:color="auto"/>
              <w:right w:val="single" w:sz="4" w:space="0" w:color="auto"/>
            </w:tcBorders>
            <w:shd w:val="clear" w:color="auto" w:fill="auto"/>
          </w:tcPr>
          <w:p w:rsidR="006026E7" w:rsidRPr="0057335A" w:rsidRDefault="003B5539" w:rsidP="00F900BE">
            <w:pPr>
              <w:jc w:val="both"/>
              <w:rPr>
                <w:bCs/>
                <w:i/>
              </w:rPr>
            </w:pPr>
            <w:r w:rsidRPr="00A6286F">
              <w:rPr>
                <w:bCs/>
                <w:i/>
              </w:rPr>
              <w:t>1</w:t>
            </w:r>
            <w:r w:rsidR="006026E7" w:rsidRPr="00A6286F">
              <w:rPr>
                <w:bCs/>
                <w:i/>
              </w:rPr>
              <w:t>точк</w:t>
            </w:r>
            <w:r w:rsidRPr="00A6286F">
              <w:rPr>
                <w:bCs/>
                <w:i/>
              </w:rPr>
              <w:t>а</w:t>
            </w:r>
            <w:r w:rsidR="006026E7" w:rsidRPr="00A6286F">
              <w:rPr>
                <w:bCs/>
                <w:i/>
              </w:rPr>
              <w:t>.</w:t>
            </w:r>
            <w:r w:rsidR="006026E7" w:rsidRPr="0057335A">
              <w:rPr>
                <w:bCs/>
                <w:i/>
              </w:rPr>
              <w:t xml:space="preserve"> </w:t>
            </w:r>
          </w:p>
          <w:p w:rsidR="006026E7" w:rsidRPr="0057335A" w:rsidRDefault="006026E7" w:rsidP="00F900BE">
            <w:pPr>
              <w:jc w:val="both"/>
              <w:rPr>
                <w:bCs/>
                <w:i/>
              </w:rPr>
            </w:pPr>
          </w:p>
          <w:p w:rsidR="006026E7" w:rsidRPr="0057335A" w:rsidRDefault="006026E7" w:rsidP="00F900BE">
            <w:pPr>
              <w:jc w:val="both"/>
              <w:rPr>
                <w:bCs/>
                <w:i/>
              </w:rPr>
            </w:pPr>
          </w:p>
          <w:p w:rsidR="006026E7" w:rsidRPr="0057335A" w:rsidRDefault="006026E7" w:rsidP="00F900BE">
            <w:pPr>
              <w:jc w:val="both"/>
              <w:rPr>
                <w:bCs/>
                <w:i/>
              </w:rPr>
            </w:pPr>
          </w:p>
          <w:p w:rsidR="006026E7" w:rsidRPr="0057335A" w:rsidRDefault="006026E7" w:rsidP="00F900BE">
            <w:pPr>
              <w:jc w:val="both"/>
              <w:rPr>
                <w:bCs/>
                <w:i/>
              </w:rPr>
            </w:pPr>
          </w:p>
          <w:p w:rsidR="006026E7" w:rsidRPr="0057335A" w:rsidRDefault="006026E7" w:rsidP="00F900BE">
            <w:pPr>
              <w:jc w:val="both"/>
              <w:rPr>
                <w:bCs/>
                <w:i/>
              </w:rPr>
            </w:pPr>
          </w:p>
        </w:tc>
      </w:tr>
    </w:tbl>
    <w:p w:rsidR="006026E7" w:rsidRPr="00BD5194" w:rsidRDefault="006026E7" w:rsidP="006026E7">
      <w:pPr>
        <w:shd w:val="clear" w:color="auto" w:fill="FFFFFF"/>
        <w:tabs>
          <w:tab w:val="num" w:pos="-142"/>
        </w:tabs>
        <w:spacing w:before="115"/>
        <w:jc w:val="both"/>
        <w:rPr>
          <w:b/>
          <w:i/>
          <w:sz w:val="24"/>
          <w:u w:val="single"/>
          <w:lang w:val="ru-RU"/>
        </w:rPr>
      </w:pPr>
      <w:r w:rsidRPr="00BD5194">
        <w:rPr>
          <w:b/>
          <w:bCs/>
          <w:sz w:val="24"/>
          <w:u w:val="single"/>
        </w:rPr>
        <w:t>Технически п</w:t>
      </w:r>
      <w:r w:rsidRPr="00BD5194">
        <w:rPr>
          <w:b/>
          <w:sz w:val="24"/>
          <w:u w:val="single"/>
          <w:lang w:val="ru-RU"/>
        </w:rPr>
        <w:t xml:space="preserve">редложения, в които липсват описани </w:t>
      </w:r>
      <w:r w:rsidR="00100F94">
        <w:rPr>
          <w:b/>
          <w:sz w:val="24"/>
          <w:u w:val="single"/>
          <w:lang w:val="ru-RU"/>
        </w:rPr>
        <w:t xml:space="preserve">етапи и </w:t>
      </w:r>
      <w:r w:rsidRPr="00BD5194">
        <w:rPr>
          <w:b/>
          <w:sz w:val="24"/>
          <w:u w:val="single"/>
          <w:lang w:val="ru-RU"/>
        </w:rPr>
        <w:t>дейности, включени в техническата спецификация</w:t>
      </w:r>
      <w:r w:rsidR="004734F0">
        <w:rPr>
          <w:b/>
          <w:sz w:val="24"/>
          <w:u w:val="single"/>
          <w:lang w:val="ru-RU"/>
        </w:rPr>
        <w:t>, линене график за изпълнение на СМР</w:t>
      </w:r>
      <w:r w:rsidRPr="00BD5194">
        <w:rPr>
          <w:b/>
          <w:sz w:val="24"/>
          <w:u w:val="single"/>
          <w:lang w:val="ru-RU"/>
        </w:rPr>
        <w:t xml:space="preserve"> или в които липсва предложение за управление на всички дефинирани от Възложителя рискове, ще бъдат отстранени от участие</w:t>
      </w:r>
      <w:r w:rsidRPr="00BD5194">
        <w:rPr>
          <w:b/>
          <w:i/>
          <w:sz w:val="24"/>
          <w:u w:val="single"/>
          <w:lang w:val="ru-RU"/>
        </w:rPr>
        <w:t>.</w:t>
      </w:r>
    </w:p>
    <w:p w:rsidR="006026E7" w:rsidRPr="00BD5194" w:rsidRDefault="006026E7" w:rsidP="006026E7">
      <w:pPr>
        <w:spacing w:after="60"/>
        <w:jc w:val="both"/>
        <w:rPr>
          <w:b/>
          <w:sz w:val="24"/>
          <w:lang w:val="ru-RU"/>
        </w:rPr>
      </w:pPr>
    </w:p>
    <w:p w:rsidR="00021D61" w:rsidRPr="00021D61" w:rsidRDefault="00021D61" w:rsidP="00021D61">
      <w:pPr>
        <w:widowControl/>
        <w:autoSpaceDE/>
        <w:autoSpaceDN/>
        <w:adjustRightInd/>
        <w:spacing w:after="120" w:line="276" w:lineRule="auto"/>
        <w:ind w:firstLine="709"/>
        <w:jc w:val="both"/>
        <w:rPr>
          <w:rFonts w:eastAsia="Calibri"/>
          <w:b/>
          <w:sz w:val="24"/>
          <w:szCs w:val="24"/>
          <w:lang w:eastAsia="en-US"/>
        </w:rPr>
      </w:pPr>
      <w:r w:rsidRPr="00021D61">
        <w:rPr>
          <w:rFonts w:eastAsia="Calibri"/>
          <w:b/>
          <w:sz w:val="24"/>
          <w:szCs w:val="24"/>
          <w:lang w:eastAsia="en-US"/>
        </w:rPr>
        <w:t>В. Срок за изпълнение (СИ) - максимален брой точки 20 т.</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lastRenderedPageBreak/>
        <w:t>Максималният брой точки по този показател получава офертата с предлаган най-кратък срок за изпълнение – 20 точки. Точките на останалите участници се определят в съотношение към най-краткия срок за изпълнение по следната формула:</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         </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СИ = </w:t>
      </w:r>
      <w:r w:rsidRPr="00021D61">
        <w:rPr>
          <w:rFonts w:eastAsia="Calibri"/>
          <w:sz w:val="24"/>
          <w:szCs w:val="24"/>
          <w:u w:val="single"/>
          <w:lang w:eastAsia="en-US"/>
        </w:rPr>
        <w:t>СИ</w:t>
      </w:r>
      <w:r w:rsidRPr="00021D61">
        <w:rPr>
          <w:rFonts w:eastAsia="Calibri"/>
          <w:sz w:val="24"/>
          <w:szCs w:val="24"/>
          <w:u w:val="single"/>
          <w:vertAlign w:val="subscript"/>
          <w:lang w:val="en-US" w:eastAsia="en-US"/>
        </w:rPr>
        <w:t>min</w:t>
      </w:r>
      <w:r w:rsidRPr="00021D61">
        <w:rPr>
          <w:rFonts w:eastAsia="Calibri"/>
          <w:sz w:val="24"/>
          <w:szCs w:val="24"/>
          <w:vertAlign w:val="subscript"/>
          <w:lang w:eastAsia="en-US"/>
        </w:rPr>
        <w:t xml:space="preserve"> </w:t>
      </w:r>
      <w:r w:rsidRPr="00021D61">
        <w:rPr>
          <w:rFonts w:eastAsia="Calibri"/>
          <w:sz w:val="24"/>
          <w:szCs w:val="24"/>
          <w:lang w:eastAsia="en-US"/>
        </w:rPr>
        <w:t xml:space="preserve">х 20 = ……… точки, където </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 xml:space="preserve">           СИ </w:t>
      </w:r>
      <w:r w:rsidRPr="00021D61">
        <w:rPr>
          <w:rFonts w:eastAsia="Calibri"/>
          <w:sz w:val="24"/>
          <w:szCs w:val="24"/>
          <w:vertAlign w:val="subscript"/>
          <w:lang w:eastAsia="en-US"/>
        </w:rPr>
        <w:t>предл.</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r w:rsidRPr="00021D61">
        <w:rPr>
          <w:rFonts w:eastAsia="Calibri"/>
          <w:sz w:val="24"/>
          <w:szCs w:val="24"/>
          <w:lang w:eastAsia="en-US"/>
        </w:rPr>
        <w:t>„20”  са максималните точки по показателя;</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proofErr w:type="spellStart"/>
      <w:r w:rsidRPr="00021D61">
        <w:rPr>
          <w:rFonts w:eastAsia="Calibri"/>
          <w:sz w:val="24"/>
          <w:szCs w:val="24"/>
          <w:lang w:eastAsia="en-US"/>
        </w:rPr>
        <w:t>СИ</w:t>
      </w:r>
      <w:r w:rsidRPr="00021D61">
        <w:rPr>
          <w:rFonts w:eastAsia="Calibri"/>
          <w:sz w:val="24"/>
          <w:szCs w:val="24"/>
          <w:vertAlign w:val="subscript"/>
          <w:lang w:eastAsia="en-US"/>
        </w:rPr>
        <w:t>предл</w:t>
      </w:r>
      <w:proofErr w:type="spellEnd"/>
      <w:r w:rsidRPr="00021D61">
        <w:rPr>
          <w:rFonts w:eastAsia="Calibri"/>
          <w:sz w:val="24"/>
          <w:szCs w:val="24"/>
          <w:vertAlign w:val="subscript"/>
          <w:lang w:eastAsia="en-US"/>
        </w:rPr>
        <w:t>.</w:t>
      </w:r>
      <w:r w:rsidRPr="00021D61">
        <w:rPr>
          <w:rFonts w:eastAsia="Calibri"/>
          <w:sz w:val="24"/>
          <w:szCs w:val="24"/>
          <w:lang w:eastAsia="en-US"/>
        </w:rPr>
        <w:t>– срокът на изпълнение, предложен от съответния участник (в календарни дни);</w:t>
      </w:r>
    </w:p>
    <w:p w:rsidR="00021D61" w:rsidRPr="00021D61" w:rsidRDefault="00021D61" w:rsidP="00021D61">
      <w:pPr>
        <w:widowControl/>
        <w:autoSpaceDE/>
        <w:autoSpaceDN/>
        <w:adjustRightInd/>
        <w:spacing w:after="120" w:line="276" w:lineRule="auto"/>
        <w:ind w:firstLine="709"/>
        <w:jc w:val="both"/>
        <w:rPr>
          <w:rFonts w:eastAsia="Calibri"/>
          <w:sz w:val="24"/>
          <w:szCs w:val="24"/>
          <w:lang w:eastAsia="en-US"/>
        </w:rPr>
      </w:pPr>
      <w:proofErr w:type="spellStart"/>
      <w:r w:rsidRPr="00021D61">
        <w:rPr>
          <w:rFonts w:eastAsia="Calibri"/>
          <w:sz w:val="24"/>
          <w:szCs w:val="24"/>
          <w:lang w:eastAsia="en-US"/>
        </w:rPr>
        <w:t>СИmin</w:t>
      </w:r>
      <w:proofErr w:type="spellEnd"/>
      <w:r w:rsidRPr="00021D61">
        <w:rPr>
          <w:rFonts w:eastAsia="Calibri"/>
          <w:sz w:val="24"/>
          <w:szCs w:val="24"/>
          <w:lang w:eastAsia="en-US"/>
        </w:rPr>
        <w:t xml:space="preserve"> – предложеният най-кратък срок (в календарни дни).</w:t>
      </w:r>
    </w:p>
    <w:p w:rsidR="009435F7" w:rsidRDefault="009435F7" w:rsidP="00021D61">
      <w:pPr>
        <w:widowControl/>
        <w:autoSpaceDE/>
        <w:autoSpaceDN/>
        <w:adjustRightInd/>
        <w:spacing w:after="120" w:line="276" w:lineRule="auto"/>
        <w:ind w:firstLine="709"/>
        <w:jc w:val="both"/>
        <w:rPr>
          <w:rFonts w:eastAsia="Calibri"/>
          <w:sz w:val="24"/>
          <w:lang w:val="en-US" w:eastAsia="en-US"/>
        </w:rPr>
      </w:pPr>
    </w:p>
    <w:p w:rsidR="00021D61" w:rsidRPr="009435F7" w:rsidRDefault="00021D61" w:rsidP="00021D61">
      <w:pPr>
        <w:widowControl/>
        <w:autoSpaceDE/>
        <w:autoSpaceDN/>
        <w:adjustRightInd/>
        <w:spacing w:after="120" w:line="276" w:lineRule="auto"/>
        <w:ind w:firstLine="709"/>
        <w:jc w:val="both"/>
        <w:rPr>
          <w:rFonts w:eastAsia="Calibri"/>
          <w:b/>
          <w:sz w:val="24"/>
          <w:lang w:eastAsia="en-US"/>
        </w:rPr>
      </w:pPr>
      <w:r w:rsidRPr="009435F7">
        <w:rPr>
          <w:rFonts w:eastAsia="Calibri"/>
          <w:b/>
          <w:sz w:val="24"/>
          <w:lang w:eastAsia="en-US"/>
        </w:rPr>
        <w:t>Комплексната оценка се формира въз основа на следната формула:</w:t>
      </w:r>
    </w:p>
    <w:p w:rsidR="00021D61" w:rsidRPr="00021D61" w:rsidRDefault="00021D61" w:rsidP="00021D61">
      <w:pPr>
        <w:widowControl/>
        <w:autoSpaceDE/>
        <w:autoSpaceDN/>
        <w:adjustRightInd/>
        <w:spacing w:after="120" w:line="276" w:lineRule="auto"/>
        <w:ind w:firstLine="709"/>
        <w:jc w:val="both"/>
        <w:rPr>
          <w:rFonts w:eastAsia="Calibri"/>
          <w:b/>
          <w:sz w:val="28"/>
          <w:szCs w:val="22"/>
          <w:lang w:eastAsia="en-US"/>
        </w:rPr>
      </w:pPr>
      <w:r w:rsidRPr="00021D61">
        <w:rPr>
          <w:rFonts w:eastAsia="Calibri"/>
          <w:b/>
          <w:sz w:val="28"/>
          <w:szCs w:val="22"/>
          <w:lang w:val="en-US" w:eastAsia="en-US"/>
        </w:rPr>
        <w:t xml:space="preserve">KO = </w:t>
      </w:r>
      <w:r w:rsidRPr="00021D61">
        <w:rPr>
          <w:rFonts w:eastAsia="Calibri"/>
          <w:b/>
          <w:sz w:val="28"/>
          <w:szCs w:val="22"/>
          <w:lang w:eastAsia="en-US"/>
        </w:rPr>
        <w:t>ПЦ +ТО +СИ</w:t>
      </w:r>
    </w:p>
    <w:p w:rsidR="00021D61" w:rsidRPr="00021D61" w:rsidRDefault="00021D61" w:rsidP="00021D61">
      <w:pPr>
        <w:widowControl/>
        <w:tabs>
          <w:tab w:val="left" w:pos="90"/>
        </w:tabs>
        <w:autoSpaceDE/>
        <w:autoSpaceDN/>
        <w:adjustRightInd/>
        <w:spacing w:after="120"/>
        <w:ind w:firstLine="798"/>
        <w:rPr>
          <w:rFonts w:eastAsia="Times New Roman"/>
          <w:sz w:val="24"/>
          <w:szCs w:val="24"/>
          <w:lang w:val="en-US" w:eastAsia="en-US"/>
        </w:rPr>
      </w:pPr>
    </w:p>
    <w:p w:rsidR="00021D61" w:rsidRPr="009435F7" w:rsidRDefault="00021D61" w:rsidP="00021D61">
      <w:pPr>
        <w:widowControl/>
        <w:tabs>
          <w:tab w:val="left" w:pos="90"/>
        </w:tabs>
        <w:autoSpaceDE/>
        <w:autoSpaceDN/>
        <w:adjustRightInd/>
        <w:spacing w:after="120"/>
        <w:ind w:firstLine="798"/>
        <w:rPr>
          <w:rFonts w:eastAsia="Times New Roman"/>
          <w:b/>
          <w:bCs/>
          <w:sz w:val="24"/>
          <w:szCs w:val="24"/>
          <w:highlight w:val="yellow"/>
          <w:lang w:eastAsia="en-US"/>
        </w:rPr>
      </w:pPr>
      <w:r w:rsidRPr="009435F7">
        <w:rPr>
          <w:rFonts w:eastAsia="Times New Roman"/>
          <w:b/>
          <w:sz w:val="24"/>
          <w:szCs w:val="24"/>
          <w:lang w:eastAsia="en-US"/>
        </w:rPr>
        <w:t>Офертата, получила най-голям брой точки, се класира на първо място.</w:t>
      </w:r>
    </w:p>
    <w:p w:rsidR="00021D61" w:rsidRPr="009435F7" w:rsidRDefault="00021D61" w:rsidP="00021D61">
      <w:pPr>
        <w:widowControl/>
        <w:autoSpaceDE/>
        <w:autoSpaceDN/>
        <w:adjustRightInd/>
        <w:spacing w:after="120" w:line="276" w:lineRule="auto"/>
        <w:ind w:firstLine="709"/>
        <w:jc w:val="both"/>
        <w:rPr>
          <w:rFonts w:eastAsia="Calibri"/>
          <w:b/>
          <w:sz w:val="24"/>
          <w:lang w:eastAsia="en-US"/>
        </w:rPr>
      </w:pPr>
    </w:p>
    <w:sectPr w:rsidR="00021D61" w:rsidRPr="009435F7" w:rsidSect="00197162">
      <w:footerReference w:type="default" r:id="rId9"/>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E6" w:rsidRDefault="00B601E6" w:rsidP="00021D61">
      <w:r>
        <w:separator/>
      </w:r>
    </w:p>
  </w:endnote>
  <w:endnote w:type="continuationSeparator" w:id="0">
    <w:p w:rsidR="00B601E6" w:rsidRDefault="00B601E6" w:rsidP="0002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1706"/>
      <w:docPartObj>
        <w:docPartGallery w:val="Page Numbers (Bottom of Page)"/>
        <w:docPartUnique/>
      </w:docPartObj>
    </w:sdtPr>
    <w:sdtEndPr/>
    <w:sdtContent>
      <w:p w:rsidR="00021D61" w:rsidRDefault="00021D61">
        <w:pPr>
          <w:pStyle w:val="a9"/>
          <w:jc w:val="right"/>
        </w:pPr>
        <w:r>
          <w:fldChar w:fldCharType="begin"/>
        </w:r>
        <w:r>
          <w:instrText>PAGE   \* MERGEFORMAT</w:instrText>
        </w:r>
        <w:r>
          <w:fldChar w:fldCharType="separate"/>
        </w:r>
        <w:r w:rsidR="0014152D">
          <w:rPr>
            <w:noProof/>
          </w:rPr>
          <w:t>2</w:t>
        </w:r>
        <w:r>
          <w:fldChar w:fldCharType="end"/>
        </w:r>
      </w:p>
    </w:sdtContent>
  </w:sdt>
  <w:p w:rsidR="00021D61" w:rsidRDefault="00021D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E6" w:rsidRDefault="00B601E6" w:rsidP="00021D61">
      <w:r>
        <w:separator/>
      </w:r>
    </w:p>
  </w:footnote>
  <w:footnote w:type="continuationSeparator" w:id="0">
    <w:p w:rsidR="00B601E6" w:rsidRDefault="00B601E6" w:rsidP="0002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
    <w:nsid w:val="5EA826F6"/>
    <w:multiLevelType w:val="hybridMultilevel"/>
    <w:tmpl w:val="384C2054"/>
    <w:lvl w:ilvl="0" w:tplc="0402000F">
      <w:start w:val="1"/>
      <w:numFmt w:val="decimal"/>
      <w:lvlText w:val="%1."/>
      <w:lvlJc w:val="left"/>
      <w:pPr>
        <w:ind w:left="720" w:hanging="360"/>
      </w:pPr>
      <w:rPr>
        <w:rFonts w:hint="default"/>
      </w:rPr>
    </w:lvl>
    <w:lvl w:ilvl="1" w:tplc="FC9A34A0">
      <w:start w:val="6"/>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7"/>
    <w:rsid w:val="00021D61"/>
    <w:rsid w:val="000A5EA1"/>
    <w:rsid w:val="00100F94"/>
    <w:rsid w:val="0014152D"/>
    <w:rsid w:val="00197162"/>
    <w:rsid w:val="001F5794"/>
    <w:rsid w:val="002932CC"/>
    <w:rsid w:val="0032528B"/>
    <w:rsid w:val="00372F78"/>
    <w:rsid w:val="003B5539"/>
    <w:rsid w:val="003E7266"/>
    <w:rsid w:val="004350D1"/>
    <w:rsid w:val="00445F32"/>
    <w:rsid w:val="0045360A"/>
    <w:rsid w:val="00462E2A"/>
    <w:rsid w:val="004734F0"/>
    <w:rsid w:val="005629DA"/>
    <w:rsid w:val="006026E7"/>
    <w:rsid w:val="00635DE9"/>
    <w:rsid w:val="00665CA1"/>
    <w:rsid w:val="0067764B"/>
    <w:rsid w:val="006C4AFC"/>
    <w:rsid w:val="00706A37"/>
    <w:rsid w:val="007B7095"/>
    <w:rsid w:val="007E1F16"/>
    <w:rsid w:val="007F7E61"/>
    <w:rsid w:val="0084382F"/>
    <w:rsid w:val="00921C2C"/>
    <w:rsid w:val="009435F7"/>
    <w:rsid w:val="0094446F"/>
    <w:rsid w:val="009C4454"/>
    <w:rsid w:val="009F2033"/>
    <w:rsid w:val="009F591A"/>
    <w:rsid w:val="00A2371E"/>
    <w:rsid w:val="00A3680F"/>
    <w:rsid w:val="00A6286F"/>
    <w:rsid w:val="00A75E67"/>
    <w:rsid w:val="00AB2867"/>
    <w:rsid w:val="00AC67EB"/>
    <w:rsid w:val="00B601E6"/>
    <w:rsid w:val="00B72F91"/>
    <w:rsid w:val="00B73138"/>
    <w:rsid w:val="00B75452"/>
    <w:rsid w:val="00BF1F4A"/>
    <w:rsid w:val="00C12DB9"/>
    <w:rsid w:val="00C51D84"/>
    <w:rsid w:val="00C77B2E"/>
    <w:rsid w:val="00C91EAE"/>
    <w:rsid w:val="00C96231"/>
    <w:rsid w:val="00CD0A4E"/>
    <w:rsid w:val="00D02F05"/>
    <w:rsid w:val="00D45669"/>
    <w:rsid w:val="00D71CF5"/>
    <w:rsid w:val="00DC1052"/>
    <w:rsid w:val="00DC5546"/>
    <w:rsid w:val="00DD46D7"/>
    <w:rsid w:val="00DD70EA"/>
    <w:rsid w:val="00DE6427"/>
    <w:rsid w:val="00E173D7"/>
    <w:rsid w:val="00E369BA"/>
    <w:rsid w:val="00E53C68"/>
    <w:rsid w:val="00E667E0"/>
    <w:rsid w:val="00E926D8"/>
    <w:rsid w:val="00EE12E6"/>
    <w:rsid w:val="00EF3E0F"/>
    <w:rsid w:val="00F82FA9"/>
    <w:rsid w:val="00FE5B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0F"/>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semiHidden/>
    <w:unhideWhenUsed/>
    <w:qFormat/>
    <w:rsid w:val="00DE6427"/>
    <w:rPr>
      <w:b/>
      <w:bCs/>
      <w:color w:val="4F81BD" w:themeColor="accent1"/>
      <w:sz w:val="18"/>
      <w:szCs w:val="18"/>
    </w:rPr>
  </w:style>
  <w:style w:type="paragraph" w:styleId="a4">
    <w:name w:val="No Spacing"/>
    <w:aliases w:val="Heading1.Гл.т."/>
    <w:qFormat/>
    <w:rsid w:val="006026E7"/>
    <w:pPr>
      <w:spacing w:after="0" w:line="240" w:lineRule="auto"/>
    </w:pPr>
    <w:rPr>
      <w:rFonts w:ascii="Times New Roman" w:eastAsia="Times New Roman" w:hAnsi="Times New Roman" w:cs="Times New Roman"/>
      <w:sz w:val="24"/>
      <w:szCs w:val="20"/>
      <w:lang w:val="en-US"/>
    </w:rPr>
  </w:style>
  <w:style w:type="paragraph" w:styleId="a5">
    <w:name w:val="Balloon Text"/>
    <w:basedOn w:val="a"/>
    <w:link w:val="a6"/>
    <w:uiPriority w:val="99"/>
    <w:semiHidden/>
    <w:unhideWhenUsed/>
    <w:rsid w:val="00C91EAE"/>
    <w:rPr>
      <w:rFonts w:ascii="Segoe UI" w:hAnsi="Segoe UI" w:cs="Segoe UI"/>
      <w:sz w:val="18"/>
      <w:szCs w:val="18"/>
    </w:rPr>
  </w:style>
  <w:style w:type="character" w:customStyle="1" w:styleId="a6">
    <w:name w:val="Изнесен текст Знак"/>
    <w:basedOn w:val="a0"/>
    <w:link w:val="a5"/>
    <w:uiPriority w:val="99"/>
    <w:semiHidden/>
    <w:rsid w:val="00C91EAE"/>
    <w:rPr>
      <w:rFonts w:ascii="Segoe UI" w:eastAsia="Batang" w:hAnsi="Segoe UI" w:cs="Segoe UI"/>
      <w:sz w:val="18"/>
      <w:szCs w:val="18"/>
      <w:lang w:eastAsia="ko-KR"/>
    </w:rPr>
  </w:style>
  <w:style w:type="paragraph" w:styleId="a7">
    <w:name w:val="header"/>
    <w:basedOn w:val="a"/>
    <w:link w:val="a8"/>
    <w:uiPriority w:val="99"/>
    <w:unhideWhenUsed/>
    <w:rsid w:val="00021D61"/>
    <w:pPr>
      <w:tabs>
        <w:tab w:val="center" w:pos="4536"/>
        <w:tab w:val="right" w:pos="9072"/>
      </w:tabs>
    </w:pPr>
  </w:style>
  <w:style w:type="character" w:customStyle="1" w:styleId="a8">
    <w:name w:val="Горен колонтитул Знак"/>
    <w:basedOn w:val="a0"/>
    <w:link w:val="a7"/>
    <w:uiPriority w:val="99"/>
    <w:rsid w:val="00021D61"/>
    <w:rPr>
      <w:rFonts w:ascii="Times New Roman" w:eastAsia="Batang" w:hAnsi="Times New Roman" w:cs="Times New Roman"/>
      <w:sz w:val="20"/>
      <w:szCs w:val="20"/>
      <w:lang w:eastAsia="ko-KR"/>
    </w:rPr>
  </w:style>
  <w:style w:type="paragraph" w:styleId="a9">
    <w:name w:val="footer"/>
    <w:basedOn w:val="a"/>
    <w:link w:val="aa"/>
    <w:uiPriority w:val="99"/>
    <w:unhideWhenUsed/>
    <w:rsid w:val="00021D61"/>
    <w:pPr>
      <w:tabs>
        <w:tab w:val="center" w:pos="4536"/>
        <w:tab w:val="right" w:pos="9072"/>
      </w:tabs>
    </w:pPr>
  </w:style>
  <w:style w:type="character" w:customStyle="1" w:styleId="aa">
    <w:name w:val="Долен колонтитул Знак"/>
    <w:basedOn w:val="a0"/>
    <w:link w:val="a9"/>
    <w:uiPriority w:val="99"/>
    <w:rsid w:val="00021D61"/>
    <w:rPr>
      <w:rFonts w:ascii="Times New Roman" w:eastAsia="Batang" w:hAnsi="Times New Roman"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0F"/>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semiHidden/>
    <w:unhideWhenUsed/>
    <w:qFormat/>
    <w:rsid w:val="00DE6427"/>
    <w:rPr>
      <w:b/>
      <w:bCs/>
      <w:color w:val="4F81BD" w:themeColor="accent1"/>
      <w:sz w:val="18"/>
      <w:szCs w:val="18"/>
    </w:rPr>
  </w:style>
  <w:style w:type="paragraph" w:styleId="a4">
    <w:name w:val="No Spacing"/>
    <w:aliases w:val="Heading1.Гл.т."/>
    <w:qFormat/>
    <w:rsid w:val="006026E7"/>
    <w:pPr>
      <w:spacing w:after="0" w:line="240" w:lineRule="auto"/>
    </w:pPr>
    <w:rPr>
      <w:rFonts w:ascii="Times New Roman" w:eastAsia="Times New Roman" w:hAnsi="Times New Roman" w:cs="Times New Roman"/>
      <w:sz w:val="24"/>
      <w:szCs w:val="20"/>
      <w:lang w:val="en-US"/>
    </w:rPr>
  </w:style>
  <w:style w:type="paragraph" w:styleId="a5">
    <w:name w:val="Balloon Text"/>
    <w:basedOn w:val="a"/>
    <w:link w:val="a6"/>
    <w:uiPriority w:val="99"/>
    <w:semiHidden/>
    <w:unhideWhenUsed/>
    <w:rsid w:val="00C91EAE"/>
    <w:rPr>
      <w:rFonts w:ascii="Segoe UI" w:hAnsi="Segoe UI" w:cs="Segoe UI"/>
      <w:sz w:val="18"/>
      <w:szCs w:val="18"/>
    </w:rPr>
  </w:style>
  <w:style w:type="character" w:customStyle="1" w:styleId="a6">
    <w:name w:val="Изнесен текст Знак"/>
    <w:basedOn w:val="a0"/>
    <w:link w:val="a5"/>
    <w:uiPriority w:val="99"/>
    <w:semiHidden/>
    <w:rsid w:val="00C91EAE"/>
    <w:rPr>
      <w:rFonts w:ascii="Segoe UI" w:eastAsia="Batang" w:hAnsi="Segoe UI" w:cs="Segoe UI"/>
      <w:sz w:val="18"/>
      <w:szCs w:val="18"/>
      <w:lang w:eastAsia="ko-KR"/>
    </w:rPr>
  </w:style>
  <w:style w:type="paragraph" w:styleId="a7">
    <w:name w:val="header"/>
    <w:basedOn w:val="a"/>
    <w:link w:val="a8"/>
    <w:uiPriority w:val="99"/>
    <w:unhideWhenUsed/>
    <w:rsid w:val="00021D61"/>
    <w:pPr>
      <w:tabs>
        <w:tab w:val="center" w:pos="4536"/>
        <w:tab w:val="right" w:pos="9072"/>
      </w:tabs>
    </w:pPr>
  </w:style>
  <w:style w:type="character" w:customStyle="1" w:styleId="a8">
    <w:name w:val="Горен колонтитул Знак"/>
    <w:basedOn w:val="a0"/>
    <w:link w:val="a7"/>
    <w:uiPriority w:val="99"/>
    <w:rsid w:val="00021D61"/>
    <w:rPr>
      <w:rFonts w:ascii="Times New Roman" w:eastAsia="Batang" w:hAnsi="Times New Roman" w:cs="Times New Roman"/>
      <w:sz w:val="20"/>
      <w:szCs w:val="20"/>
      <w:lang w:eastAsia="ko-KR"/>
    </w:rPr>
  </w:style>
  <w:style w:type="paragraph" w:styleId="a9">
    <w:name w:val="footer"/>
    <w:basedOn w:val="a"/>
    <w:link w:val="aa"/>
    <w:uiPriority w:val="99"/>
    <w:unhideWhenUsed/>
    <w:rsid w:val="00021D61"/>
    <w:pPr>
      <w:tabs>
        <w:tab w:val="center" w:pos="4536"/>
        <w:tab w:val="right" w:pos="9072"/>
      </w:tabs>
    </w:pPr>
  </w:style>
  <w:style w:type="character" w:customStyle="1" w:styleId="aa">
    <w:name w:val="Долен колонтитул Знак"/>
    <w:basedOn w:val="a0"/>
    <w:link w:val="a9"/>
    <w:uiPriority w:val="99"/>
    <w:rsid w:val="00021D61"/>
    <w:rPr>
      <w:rFonts w:ascii="Times New Roman" w:eastAsia="Batang"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0766">
      <w:bodyDiv w:val="1"/>
      <w:marLeft w:val="0"/>
      <w:marRight w:val="0"/>
      <w:marTop w:val="0"/>
      <w:marBottom w:val="0"/>
      <w:divBdr>
        <w:top w:val="none" w:sz="0" w:space="0" w:color="auto"/>
        <w:left w:val="none" w:sz="0" w:space="0" w:color="auto"/>
        <w:bottom w:val="none" w:sz="0" w:space="0" w:color="auto"/>
        <w:right w:val="none" w:sz="0" w:space="0" w:color="auto"/>
      </w:divBdr>
    </w:div>
    <w:div w:id="382681010">
      <w:bodyDiv w:val="1"/>
      <w:marLeft w:val="0"/>
      <w:marRight w:val="0"/>
      <w:marTop w:val="0"/>
      <w:marBottom w:val="0"/>
      <w:divBdr>
        <w:top w:val="none" w:sz="0" w:space="0" w:color="auto"/>
        <w:left w:val="none" w:sz="0" w:space="0" w:color="auto"/>
        <w:bottom w:val="none" w:sz="0" w:space="0" w:color="auto"/>
        <w:right w:val="none" w:sz="0" w:space="0" w:color="auto"/>
      </w:divBdr>
    </w:div>
    <w:div w:id="5998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50DE-949B-4967-984B-B75BE641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1510</Words>
  <Characters>8613</Characters>
  <Application>Microsoft Office Word</Application>
  <DocSecurity>0</DocSecurity>
  <Lines>71</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Методика за оценка на постъпилите оферти</vt:lpstr>
      <vt:lpstr/>
    </vt:vector>
  </TitlesOfParts>
  <Company>Grizli777</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оценка на постъпилите оферти</dc:title>
  <dc:creator>User</dc:creator>
  <cp:lastModifiedBy>User</cp:lastModifiedBy>
  <cp:revision>43</cp:revision>
  <cp:lastPrinted>2014-08-19T09:23:00Z</cp:lastPrinted>
  <dcterms:created xsi:type="dcterms:W3CDTF">2014-08-18T09:46:00Z</dcterms:created>
  <dcterms:modified xsi:type="dcterms:W3CDTF">2014-09-01T13:24:00Z</dcterms:modified>
</cp:coreProperties>
</file>